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2C8" w:rsidRDefault="002722C8" w:rsidP="002722C8">
      <w:pPr>
        <w:spacing w:after="0" w:line="480" w:lineRule="auto"/>
        <w:jc w:val="center"/>
        <w:outlineLvl w:val="0"/>
        <w:rPr>
          <w:rFonts w:asciiTheme="majorBidi" w:eastAsia="Times New Roman" w:hAnsiTheme="majorBidi" w:cstheme="majorBidi"/>
          <w:b/>
          <w:bCs/>
          <w:kern w:val="36"/>
          <w:sz w:val="24"/>
          <w:szCs w:val="24"/>
        </w:rPr>
      </w:pPr>
    </w:p>
    <w:p w:rsidR="002722C8" w:rsidRDefault="002722C8" w:rsidP="002722C8">
      <w:pPr>
        <w:spacing w:after="0" w:line="480" w:lineRule="auto"/>
        <w:jc w:val="center"/>
        <w:outlineLvl w:val="0"/>
        <w:rPr>
          <w:rFonts w:asciiTheme="majorBidi" w:eastAsia="Times New Roman" w:hAnsiTheme="majorBidi" w:cstheme="majorBidi"/>
          <w:b/>
          <w:bCs/>
          <w:kern w:val="36"/>
          <w:sz w:val="24"/>
          <w:szCs w:val="24"/>
        </w:rPr>
      </w:pPr>
    </w:p>
    <w:p w:rsidR="002722C8" w:rsidRDefault="002722C8" w:rsidP="002722C8">
      <w:pPr>
        <w:spacing w:after="0" w:line="480" w:lineRule="auto"/>
        <w:jc w:val="center"/>
        <w:outlineLvl w:val="0"/>
        <w:rPr>
          <w:rFonts w:asciiTheme="majorBidi" w:eastAsia="Times New Roman" w:hAnsiTheme="majorBidi" w:cstheme="majorBidi"/>
          <w:b/>
          <w:bCs/>
          <w:kern w:val="36"/>
          <w:sz w:val="24"/>
          <w:szCs w:val="24"/>
        </w:rPr>
      </w:pPr>
    </w:p>
    <w:p w:rsidR="008752AF" w:rsidRDefault="002722C8" w:rsidP="008752AF">
      <w:pPr>
        <w:spacing w:after="0" w:line="480" w:lineRule="auto"/>
        <w:outlineLvl w:val="0"/>
        <w:rPr>
          <w:rFonts w:asciiTheme="majorBidi" w:eastAsia="Times New Roman" w:hAnsiTheme="majorBidi" w:cstheme="majorBidi"/>
          <w:kern w:val="36"/>
          <w:sz w:val="24"/>
          <w:szCs w:val="24"/>
        </w:rPr>
      </w:pPr>
      <w:r>
        <w:rPr>
          <w:rFonts w:asciiTheme="majorBidi" w:eastAsia="Times New Roman" w:hAnsiTheme="majorBidi" w:cstheme="majorBidi"/>
          <w:b/>
          <w:bCs/>
          <w:kern w:val="36"/>
          <w:sz w:val="28"/>
          <w:szCs w:val="28"/>
        </w:rPr>
        <w:t xml:space="preserve">Original Article        </w:t>
      </w:r>
      <w:r w:rsidR="008752AF">
        <w:rPr>
          <w:rFonts w:asciiTheme="majorBidi" w:eastAsia="Times New Roman" w:hAnsiTheme="majorBidi" w:cstheme="majorBidi"/>
          <w:b/>
          <w:bCs/>
          <w:kern w:val="36"/>
          <w:sz w:val="24"/>
          <w:szCs w:val="24"/>
        </w:rPr>
        <w:t>Running title:</w:t>
      </w:r>
      <w:r w:rsidR="008752AF">
        <w:rPr>
          <w:rFonts w:asciiTheme="majorBidi" w:eastAsia="Times New Roman" w:hAnsiTheme="majorBidi" w:cstheme="majorBidi"/>
          <w:kern w:val="36"/>
          <w:sz w:val="24"/>
          <w:szCs w:val="24"/>
        </w:rPr>
        <w:t xml:space="preserve"> Indications and</w:t>
      </w:r>
      <w:r w:rsidR="008752AF">
        <w:rPr>
          <w:rFonts w:asciiTheme="majorBidi" w:eastAsia="Times New Roman" w:hAnsiTheme="majorBidi" w:cstheme="majorBidi"/>
          <w:b/>
          <w:bCs/>
          <w:kern w:val="36"/>
          <w:sz w:val="24"/>
          <w:szCs w:val="24"/>
        </w:rPr>
        <w:t xml:space="preserve"> </w:t>
      </w:r>
      <w:r w:rsidR="008752AF">
        <w:rPr>
          <w:rFonts w:asciiTheme="majorBidi" w:eastAsia="Times New Roman" w:hAnsiTheme="majorBidi" w:cstheme="majorBidi"/>
          <w:kern w:val="36"/>
          <w:sz w:val="24"/>
          <w:szCs w:val="24"/>
        </w:rPr>
        <w:t>Complications of PEG tube</w:t>
      </w:r>
    </w:p>
    <w:p w:rsidR="002722C8" w:rsidRDefault="002722C8" w:rsidP="008752AF">
      <w:pPr>
        <w:spacing w:after="0" w:line="480" w:lineRule="auto"/>
        <w:outlineLvl w:val="0"/>
        <w:rPr>
          <w:rFonts w:asciiTheme="majorBidi" w:eastAsia="Times New Roman" w:hAnsiTheme="majorBidi" w:cstheme="majorBidi"/>
          <w:b/>
          <w:bCs/>
          <w:kern w:val="36"/>
          <w:sz w:val="28"/>
          <w:szCs w:val="28"/>
        </w:rPr>
      </w:pPr>
    </w:p>
    <w:p w:rsidR="002722C8" w:rsidRPr="008752AF" w:rsidRDefault="002722C8" w:rsidP="008752AF">
      <w:pPr>
        <w:spacing w:after="0" w:line="480" w:lineRule="auto"/>
        <w:jc w:val="center"/>
        <w:outlineLvl w:val="0"/>
        <w:rPr>
          <w:rFonts w:asciiTheme="majorBidi" w:eastAsia="Times New Roman" w:hAnsiTheme="majorBidi" w:cstheme="majorBidi"/>
          <w:b/>
          <w:bCs/>
          <w:kern w:val="36"/>
          <w:sz w:val="28"/>
          <w:szCs w:val="28"/>
        </w:rPr>
      </w:pPr>
      <w:r>
        <w:rPr>
          <w:rFonts w:asciiTheme="majorBidi" w:eastAsia="Times New Roman" w:hAnsiTheme="majorBidi" w:cstheme="majorBidi"/>
          <w:b/>
          <w:bCs/>
          <w:kern w:val="36"/>
          <w:sz w:val="28"/>
          <w:szCs w:val="28"/>
        </w:rPr>
        <w:t>Indications, One-Year Survival, and Complications of Percutaneous Endoscopic Gastrostomy: A Cross Sectional Study</w:t>
      </w:r>
    </w:p>
    <w:p w:rsidR="002722C8" w:rsidRDefault="002722C8" w:rsidP="002722C8">
      <w:pPr>
        <w:spacing w:after="0" w:line="480" w:lineRule="auto"/>
        <w:jc w:val="center"/>
        <w:outlineLvl w:val="0"/>
        <w:rPr>
          <w:rFonts w:asciiTheme="majorBidi" w:eastAsia="Times New Roman" w:hAnsiTheme="majorBidi" w:cstheme="majorBidi"/>
          <w:b/>
          <w:bCs/>
          <w:kern w:val="36"/>
          <w:sz w:val="24"/>
          <w:szCs w:val="24"/>
        </w:rPr>
      </w:pPr>
    </w:p>
    <w:p w:rsidR="002722C8" w:rsidRPr="008752AF" w:rsidRDefault="002722C8" w:rsidP="002722C8">
      <w:pPr>
        <w:spacing w:after="0" w:line="480" w:lineRule="auto"/>
        <w:jc w:val="center"/>
        <w:outlineLvl w:val="0"/>
        <w:rPr>
          <w:rFonts w:asciiTheme="majorBidi" w:eastAsia="Times New Roman" w:hAnsiTheme="majorBidi" w:cstheme="majorBidi"/>
          <w:b/>
          <w:bCs/>
          <w:kern w:val="36"/>
          <w:sz w:val="24"/>
          <w:szCs w:val="24"/>
          <w:vertAlign w:val="superscript"/>
        </w:rPr>
      </w:pPr>
      <w:r w:rsidRPr="008752AF">
        <w:rPr>
          <w:rFonts w:asciiTheme="majorBidi" w:eastAsia="Times New Roman" w:hAnsiTheme="majorBidi" w:cstheme="majorBidi"/>
          <w:b/>
          <w:bCs/>
          <w:kern w:val="36"/>
          <w:sz w:val="24"/>
          <w:szCs w:val="24"/>
        </w:rPr>
        <w:t>Mahmud Baghbanian</w:t>
      </w:r>
      <w:r w:rsidRPr="008752AF">
        <w:rPr>
          <w:rFonts w:asciiTheme="majorBidi" w:eastAsia="Times New Roman" w:hAnsiTheme="majorBidi" w:cstheme="majorBidi"/>
          <w:b/>
          <w:bCs/>
          <w:kern w:val="36"/>
          <w:sz w:val="24"/>
          <w:szCs w:val="24"/>
          <w:vertAlign w:val="superscript"/>
        </w:rPr>
        <w:t>1*</w:t>
      </w:r>
      <w:r w:rsidRPr="008752AF">
        <w:rPr>
          <w:rFonts w:asciiTheme="majorBidi" w:eastAsia="Times New Roman" w:hAnsiTheme="majorBidi" w:cstheme="majorBidi"/>
          <w:b/>
          <w:bCs/>
          <w:kern w:val="36"/>
          <w:sz w:val="24"/>
          <w:szCs w:val="24"/>
        </w:rPr>
        <w:t xml:space="preserve">, </w:t>
      </w:r>
      <w:proofErr w:type="spellStart"/>
      <w:r w:rsidRPr="008752AF">
        <w:rPr>
          <w:rFonts w:asciiTheme="majorBidi" w:eastAsia="Times New Roman" w:hAnsiTheme="majorBidi" w:cstheme="majorBidi"/>
          <w:b/>
          <w:bCs/>
          <w:kern w:val="36"/>
          <w:sz w:val="24"/>
          <w:szCs w:val="24"/>
        </w:rPr>
        <w:t>Hasan</w:t>
      </w:r>
      <w:proofErr w:type="spellEnd"/>
      <w:r w:rsidRPr="008752AF">
        <w:rPr>
          <w:rFonts w:asciiTheme="majorBidi" w:eastAsia="Times New Roman" w:hAnsiTheme="majorBidi" w:cstheme="majorBidi"/>
          <w:b/>
          <w:bCs/>
          <w:kern w:val="36"/>
          <w:sz w:val="24"/>
          <w:szCs w:val="24"/>
        </w:rPr>
        <w:t xml:space="preserve"> Salmanroghani</w:t>
      </w:r>
      <w:r w:rsidRPr="008752AF">
        <w:rPr>
          <w:rFonts w:asciiTheme="majorBidi" w:eastAsia="Times New Roman" w:hAnsiTheme="majorBidi" w:cstheme="majorBidi"/>
          <w:b/>
          <w:bCs/>
          <w:kern w:val="36"/>
          <w:sz w:val="24"/>
          <w:szCs w:val="24"/>
          <w:vertAlign w:val="superscript"/>
        </w:rPr>
        <w:t>1</w:t>
      </w:r>
      <w:r w:rsidRPr="008752AF">
        <w:rPr>
          <w:rFonts w:asciiTheme="majorBidi" w:eastAsia="Times New Roman" w:hAnsiTheme="majorBidi" w:cstheme="majorBidi"/>
          <w:b/>
          <w:bCs/>
          <w:kern w:val="36"/>
          <w:sz w:val="24"/>
          <w:szCs w:val="24"/>
        </w:rPr>
        <w:t>, Mohsen BorhaniMoghadam</w:t>
      </w:r>
      <w:r w:rsidRPr="008752AF">
        <w:rPr>
          <w:rFonts w:asciiTheme="majorBidi" w:eastAsia="Times New Roman" w:hAnsiTheme="majorBidi" w:cstheme="majorBidi"/>
          <w:b/>
          <w:bCs/>
          <w:kern w:val="36"/>
          <w:sz w:val="24"/>
          <w:szCs w:val="24"/>
          <w:vertAlign w:val="superscript"/>
        </w:rPr>
        <w:t>2</w:t>
      </w:r>
      <w:r w:rsidRPr="008752AF">
        <w:rPr>
          <w:rFonts w:asciiTheme="majorBidi" w:eastAsia="Times New Roman" w:hAnsiTheme="majorBidi" w:cstheme="majorBidi"/>
          <w:b/>
          <w:bCs/>
          <w:kern w:val="36"/>
          <w:sz w:val="24"/>
          <w:szCs w:val="24"/>
        </w:rPr>
        <w:t>, Mohammad Zolfaghari</w:t>
      </w:r>
      <w:r w:rsidRPr="008752AF">
        <w:rPr>
          <w:rFonts w:asciiTheme="majorBidi" w:eastAsia="Times New Roman" w:hAnsiTheme="majorBidi" w:cstheme="majorBidi"/>
          <w:b/>
          <w:bCs/>
          <w:kern w:val="36"/>
          <w:sz w:val="24"/>
          <w:szCs w:val="24"/>
          <w:vertAlign w:val="superscript"/>
        </w:rPr>
        <w:t>3</w:t>
      </w:r>
    </w:p>
    <w:p w:rsidR="002722C8" w:rsidRDefault="002722C8" w:rsidP="002722C8">
      <w:pPr>
        <w:spacing w:after="0" w:line="480" w:lineRule="auto"/>
        <w:jc w:val="center"/>
        <w:outlineLvl w:val="0"/>
        <w:rPr>
          <w:rFonts w:asciiTheme="majorBidi" w:eastAsia="Times New Roman" w:hAnsiTheme="majorBidi" w:cstheme="majorBidi"/>
          <w:kern w:val="36"/>
          <w:vertAlign w:val="superscript"/>
        </w:rPr>
      </w:pPr>
    </w:p>
    <w:p w:rsidR="002722C8" w:rsidRDefault="002722C8" w:rsidP="002722C8">
      <w:pPr>
        <w:spacing w:after="0" w:line="480" w:lineRule="auto"/>
        <w:jc w:val="center"/>
        <w:outlineLvl w:val="0"/>
        <w:rPr>
          <w:rFonts w:asciiTheme="majorBidi" w:eastAsia="Times New Roman" w:hAnsiTheme="majorBidi" w:cstheme="majorBidi"/>
          <w:kern w:val="36"/>
          <w:vertAlign w:val="superscript"/>
        </w:rPr>
      </w:pPr>
    </w:p>
    <w:p w:rsidR="002722C8" w:rsidRDefault="002722C8" w:rsidP="002722C8">
      <w:pPr>
        <w:spacing w:after="0" w:line="360" w:lineRule="auto"/>
        <w:outlineLvl w:val="0"/>
        <w:rPr>
          <w:rFonts w:asciiTheme="majorBidi" w:eastAsia="Times New Roman" w:hAnsiTheme="majorBidi" w:cstheme="majorBidi"/>
          <w:kern w:val="36"/>
          <w:sz w:val="20"/>
          <w:szCs w:val="20"/>
        </w:rPr>
      </w:pPr>
      <w:r>
        <w:rPr>
          <w:rFonts w:asciiTheme="majorBidi" w:eastAsia="Times New Roman" w:hAnsiTheme="majorBidi" w:cstheme="majorBidi"/>
          <w:kern w:val="36"/>
          <w:sz w:val="20"/>
          <w:szCs w:val="20"/>
          <w:vertAlign w:val="superscript"/>
        </w:rPr>
        <w:t>1</w:t>
      </w:r>
      <w:r>
        <w:rPr>
          <w:rFonts w:asciiTheme="majorBidi" w:eastAsia="Times New Roman" w:hAnsiTheme="majorBidi" w:cstheme="majorBidi"/>
          <w:kern w:val="36"/>
          <w:sz w:val="20"/>
          <w:szCs w:val="20"/>
        </w:rPr>
        <w:t xml:space="preserve"> Department of Gastroenterology, </w:t>
      </w:r>
      <w:proofErr w:type="spellStart"/>
      <w:r>
        <w:rPr>
          <w:rFonts w:asciiTheme="majorBidi" w:eastAsia="Times New Roman" w:hAnsiTheme="majorBidi" w:cstheme="majorBidi"/>
          <w:kern w:val="36"/>
          <w:sz w:val="20"/>
          <w:szCs w:val="20"/>
        </w:rPr>
        <w:t>Shahid</w:t>
      </w:r>
      <w:proofErr w:type="spellEnd"/>
      <w:r>
        <w:rPr>
          <w:rFonts w:asciiTheme="majorBidi" w:eastAsia="Times New Roman" w:hAnsiTheme="majorBidi" w:cstheme="majorBidi"/>
          <w:kern w:val="36"/>
          <w:sz w:val="20"/>
          <w:szCs w:val="20"/>
        </w:rPr>
        <w:t xml:space="preserve"> </w:t>
      </w:r>
      <w:proofErr w:type="spellStart"/>
      <w:r>
        <w:rPr>
          <w:rFonts w:asciiTheme="majorBidi" w:eastAsia="Times New Roman" w:hAnsiTheme="majorBidi" w:cstheme="majorBidi"/>
          <w:kern w:val="36"/>
          <w:sz w:val="20"/>
          <w:szCs w:val="20"/>
        </w:rPr>
        <w:t>Sadoughi</w:t>
      </w:r>
      <w:proofErr w:type="spellEnd"/>
      <w:r>
        <w:rPr>
          <w:rFonts w:asciiTheme="majorBidi" w:eastAsia="Times New Roman" w:hAnsiTheme="majorBidi" w:cstheme="majorBidi"/>
          <w:kern w:val="36"/>
          <w:sz w:val="20"/>
          <w:szCs w:val="20"/>
        </w:rPr>
        <w:t xml:space="preserve"> University of Medical Sciences, Yazd, Iran</w:t>
      </w:r>
    </w:p>
    <w:p w:rsidR="002722C8" w:rsidRDefault="002722C8" w:rsidP="002722C8">
      <w:pPr>
        <w:spacing w:after="0" w:line="360" w:lineRule="auto"/>
        <w:outlineLvl w:val="0"/>
        <w:rPr>
          <w:rFonts w:asciiTheme="majorBidi" w:eastAsia="Times New Roman" w:hAnsiTheme="majorBidi" w:cstheme="majorBidi"/>
          <w:kern w:val="36"/>
          <w:sz w:val="20"/>
          <w:szCs w:val="20"/>
        </w:rPr>
      </w:pPr>
      <w:r>
        <w:rPr>
          <w:rFonts w:asciiTheme="majorBidi" w:eastAsia="Times New Roman" w:hAnsiTheme="majorBidi" w:cstheme="majorBidi"/>
          <w:kern w:val="36"/>
          <w:sz w:val="20"/>
          <w:szCs w:val="20"/>
          <w:vertAlign w:val="superscript"/>
        </w:rPr>
        <w:t>2</w:t>
      </w:r>
      <w:r>
        <w:rPr>
          <w:rFonts w:asciiTheme="majorBidi" w:eastAsia="Times New Roman" w:hAnsiTheme="majorBidi" w:cstheme="majorBidi"/>
          <w:kern w:val="36"/>
          <w:sz w:val="20"/>
          <w:szCs w:val="20"/>
        </w:rPr>
        <w:t xml:space="preserve"> School of Medicine, </w:t>
      </w:r>
      <w:proofErr w:type="spellStart"/>
      <w:r>
        <w:rPr>
          <w:rFonts w:asciiTheme="majorBidi" w:eastAsia="Times New Roman" w:hAnsiTheme="majorBidi" w:cstheme="majorBidi"/>
          <w:kern w:val="36"/>
          <w:sz w:val="20"/>
          <w:szCs w:val="20"/>
        </w:rPr>
        <w:t>Shahid</w:t>
      </w:r>
      <w:proofErr w:type="spellEnd"/>
      <w:r>
        <w:rPr>
          <w:rFonts w:asciiTheme="majorBidi" w:eastAsia="Times New Roman" w:hAnsiTheme="majorBidi" w:cstheme="majorBidi"/>
          <w:kern w:val="36"/>
          <w:sz w:val="20"/>
          <w:szCs w:val="20"/>
        </w:rPr>
        <w:t xml:space="preserve"> </w:t>
      </w:r>
      <w:proofErr w:type="spellStart"/>
      <w:r>
        <w:rPr>
          <w:rFonts w:asciiTheme="majorBidi" w:eastAsia="Times New Roman" w:hAnsiTheme="majorBidi" w:cstheme="majorBidi"/>
          <w:kern w:val="36"/>
          <w:sz w:val="20"/>
          <w:szCs w:val="20"/>
        </w:rPr>
        <w:t>Sadoughi</w:t>
      </w:r>
      <w:proofErr w:type="spellEnd"/>
      <w:r>
        <w:rPr>
          <w:rFonts w:asciiTheme="majorBidi" w:eastAsia="Times New Roman" w:hAnsiTheme="majorBidi" w:cstheme="majorBidi"/>
          <w:kern w:val="36"/>
          <w:sz w:val="20"/>
          <w:szCs w:val="20"/>
        </w:rPr>
        <w:t xml:space="preserve"> University of Medical Sciences, Yazd, Iran</w:t>
      </w:r>
    </w:p>
    <w:p w:rsidR="002722C8" w:rsidRDefault="002722C8" w:rsidP="002722C8">
      <w:pPr>
        <w:spacing w:after="0" w:line="360" w:lineRule="auto"/>
        <w:outlineLvl w:val="0"/>
        <w:rPr>
          <w:rFonts w:asciiTheme="majorBidi" w:eastAsia="Times New Roman" w:hAnsiTheme="majorBidi" w:cstheme="majorBidi"/>
          <w:kern w:val="36"/>
          <w:sz w:val="20"/>
          <w:szCs w:val="20"/>
        </w:rPr>
      </w:pPr>
      <w:proofErr w:type="gramStart"/>
      <w:r>
        <w:rPr>
          <w:rFonts w:asciiTheme="majorBidi" w:eastAsia="Times New Roman" w:hAnsiTheme="majorBidi" w:cstheme="majorBidi"/>
          <w:kern w:val="36"/>
          <w:sz w:val="20"/>
          <w:szCs w:val="20"/>
          <w:vertAlign w:val="superscript"/>
        </w:rPr>
        <w:t>3</w:t>
      </w:r>
      <w:r>
        <w:rPr>
          <w:rFonts w:asciiTheme="majorBidi" w:eastAsia="Times New Roman" w:hAnsiTheme="majorBidi" w:cstheme="majorBidi"/>
          <w:kern w:val="36"/>
          <w:sz w:val="20"/>
          <w:szCs w:val="20"/>
        </w:rPr>
        <w:t xml:space="preserve"> Student Research Committee</w:t>
      </w:r>
      <w:proofErr w:type="gramEnd"/>
      <w:r>
        <w:rPr>
          <w:rFonts w:asciiTheme="majorBidi" w:eastAsia="Times New Roman" w:hAnsiTheme="majorBidi" w:cstheme="majorBidi"/>
          <w:kern w:val="36"/>
          <w:sz w:val="20"/>
          <w:szCs w:val="20"/>
        </w:rPr>
        <w:t xml:space="preserve">, </w:t>
      </w:r>
      <w:proofErr w:type="spellStart"/>
      <w:r>
        <w:rPr>
          <w:rFonts w:asciiTheme="majorBidi" w:eastAsia="Times New Roman" w:hAnsiTheme="majorBidi" w:cstheme="majorBidi"/>
          <w:kern w:val="36"/>
          <w:sz w:val="20"/>
          <w:szCs w:val="20"/>
        </w:rPr>
        <w:t>Shahid</w:t>
      </w:r>
      <w:proofErr w:type="spellEnd"/>
      <w:r>
        <w:rPr>
          <w:rFonts w:asciiTheme="majorBidi" w:eastAsia="Times New Roman" w:hAnsiTheme="majorBidi" w:cstheme="majorBidi"/>
          <w:kern w:val="36"/>
          <w:sz w:val="20"/>
          <w:szCs w:val="20"/>
        </w:rPr>
        <w:t xml:space="preserve"> </w:t>
      </w:r>
      <w:proofErr w:type="spellStart"/>
      <w:r>
        <w:rPr>
          <w:rFonts w:asciiTheme="majorBidi" w:eastAsia="Times New Roman" w:hAnsiTheme="majorBidi" w:cstheme="majorBidi"/>
          <w:kern w:val="36"/>
          <w:sz w:val="20"/>
          <w:szCs w:val="20"/>
        </w:rPr>
        <w:t>Sadoughi</w:t>
      </w:r>
      <w:proofErr w:type="spellEnd"/>
      <w:r>
        <w:rPr>
          <w:rFonts w:asciiTheme="majorBidi" w:eastAsia="Times New Roman" w:hAnsiTheme="majorBidi" w:cstheme="majorBidi"/>
          <w:kern w:val="36"/>
          <w:sz w:val="20"/>
          <w:szCs w:val="20"/>
        </w:rPr>
        <w:t xml:space="preserve"> University of Medical Sciences, Yazd, Iran</w:t>
      </w:r>
    </w:p>
    <w:p w:rsidR="002722C8" w:rsidRDefault="002722C8" w:rsidP="002722C8">
      <w:pPr>
        <w:spacing w:after="0" w:line="276" w:lineRule="auto"/>
        <w:outlineLvl w:val="0"/>
        <w:rPr>
          <w:rFonts w:asciiTheme="majorBidi" w:eastAsia="Times New Roman" w:hAnsiTheme="majorBidi" w:cstheme="majorBidi"/>
          <w:b/>
          <w:bCs/>
          <w:kern w:val="36"/>
          <w:sz w:val="20"/>
          <w:szCs w:val="20"/>
        </w:rPr>
      </w:pPr>
    </w:p>
    <w:p w:rsidR="008752AF" w:rsidRDefault="002722C8" w:rsidP="002722C8">
      <w:pPr>
        <w:spacing w:after="0" w:line="276" w:lineRule="auto"/>
        <w:outlineLvl w:val="0"/>
        <w:rPr>
          <w:rFonts w:asciiTheme="majorBidi" w:eastAsia="Times New Roman" w:hAnsiTheme="majorBidi" w:cstheme="majorBidi"/>
          <w:b/>
          <w:bCs/>
          <w:kern w:val="36"/>
          <w:sz w:val="20"/>
          <w:szCs w:val="20"/>
        </w:rPr>
      </w:pPr>
      <w:r>
        <w:rPr>
          <w:rFonts w:asciiTheme="majorBidi" w:eastAsia="Times New Roman" w:hAnsiTheme="majorBidi" w:cstheme="majorBidi"/>
          <w:b/>
          <w:bCs/>
          <w:kern w:val="36"/>
          <w:sz w:val="20"/>
          <w:szCs w:val="20"/>
        </w:rPr>
        <w:t xml:space="preserve">* Corresponding Author: </w:t>
      </w:r>
    </w:p>
    <w:p w:rsidR="008752AF" w:rsidRDefault="002722C8" w:rsidP="002722C8">
      <w:pPr>
        <w:spacing w:after="0" w:line="276" w:lineRule="auto"/>
        <w:outlineLvl w:val="0"/>
        <w:rPr>
          <w:rFonts w:asciiTheme="majorBidi" w:eastAsia="Times New Roman" w:hAnsiTheme="majorBidi" w:cstheme="majorBidi"/>
          <w:kern w:val="36"/>
          <w:sz w:val="20"/>
          <w:szCs w:val="20"/>
        </w:rPr>
      </w:pPr>
      <w:r>
        <w:rPr>
          <w:rFonts w:asciiTheme="majorBidi" w:eastAsia="Times New Roman" w:hAnsiTheme="majorBidi" w:cstheme="majorBidi"/>
          <w:kern w:val="36"/>
          <w:sz w:val="20"/>
          <w:szCs w:val="20"/>
        </w:rPr>
        <w:t>Mahmud Baghbanian,</w:t>
      </w:r>
      <w:r w:rsidR="008752AF">
        <w:rPr>
          <w:rFonts w:asciiTheme="majorBidi" w:eastAsia="Times New Roman" w:hAnsiTheme="majorBidi" w:cstheme="majorBidi"/>
          <w:kern w:val="36"/>
          <w:sz w:val="20"/>
          <w:szCs w:val="20"/>
        </w:rPr>
        <w:t xml:space="preserve"> MD</w:t>
      </w:r>
      <w:r>
        <w:rPr>
          <w:rFonts w:asciiTheme="majorBidi" w:eastAsia="Times New Roman" w:hAnsiTheme="majorBidi" w:cstheme="majorBidi"/>
          <w:kern w:val="36"/>
          <w:sz w:val="20"/>
          <w:szCs w:val="20"/>
        </w:rPr>
        <w:t xml:space="preserve"> </w:t>
      </w:r>
    </w:p>
    <w:p w:rsidR="002722C8" w:rsidRDefault="002722C8" w:rsidP="002722C8">
      <w:pPr>
        <w:spacing w:after="0" w:line="276" w:lineRule="auto"/>
        <w:outlineLvl w:val="0"/>
        <w:rPr>
          <w:rFonts w:asciiTheme="majorBidi" w:eastAsia="Times New Roman" w:hAnsiTheme="majorBidi" w:cstheme="majorBidi"/>
          <w:kern w:val="36"/>
          <w:sz w:val="20"/>
          <w:szCs w:val="20"/>
        </w:rPr>
      </w:pPr>
      <w:r>
        <w:rPr>
          <w:rFonts w:asciiTheme="majorBidi" w:eastAsia="Times New Roman" w:hAnsiTheme="majorBidi" w:cstheme="majorBidi"/>
          <w:kern w:val="36"/>
          <w:sz w:val="20"/>
          <w:szCs w:val="20"/>
        </w:rPr>
        <w:t xml:space="preserve">Endoscopy ward, </w:t>
      </w:r>
      <w:proofErr w:type="spellStart"/>
      <w:r>
        <w:rPr>
          <w:rFonts w:asciiTheme="majorBidi" w:eastAsia="Times New Roman" w:hAnsiTheme="majorBidi" w:cstheme="majorBidi"/>
          <w:kern w:val="36"/>
          <w:sz w:val="20"/>
          <w:szCs w:val="20"/>
        </w:rPr>
        <w:t>Shahid</w:t>
      </w:r>
      <w:proofErr w:type="spellEnd"/>
      <w:r>
        <w:rPr>
          <w:rFonts w:asciiTheme="majorBidi" w:eastAsia="Times New Roman" w:hAnsiTheme="majorBidi" w:cstheme="majorBidi"/>
          <w:kern w:val="36"/>
          <w:sz w:val="20"/>
          <w:szCs w:val="20"/>
        </w:rPr>
        <w:t xml:space="preserve"> </w:t>
      </w:r>
      <w:proofErr w:type="spellStart"/>
      <w:r>
        <w:rPr>
          <w:rFonts w:asciiTheme="majorBidi" w:eastAsia="Times New Roman" w:hAnsiTheme="majorBidi" w:cstheme="majorBidi"/>
          <w:kern w:val="36"/>
          <w:sz w:val="20"/>
          <w:szCs w:val="20"/>
        </w:rPr>
        <w:t>Sadoughi</w:t>
      </w:r>
      <w:proofErr w:type="spellEnd"/>
      <w:r>
        <w:rPr>
          <w:rFonts w:asciiTheme="majorBidi" w:eastAsia="Times New Roman" w:hAnsiTheme="majorBidi" w:cstheme="majorBidi"/>
          <w:kern w:val="36"/>
          <w:sz w:val="20"/>
          <w:szCs w:val="20"/>
        </w:rPr>
        <w:t xml:space="preserve"> Hospital, </w:t>
      </w:r>
      <w:proofErr w:type="spellStart"/>
      <w:r>
        <w:rPr>
          <w:rFonts w:asciiTheme="majorBidi" w:eastAsia="Times New Roman" w:hAnsiTheme="majorBidi" w:cstheme="majorBidi"/>
          <w:kern w:val="36"/>
          <w:sz w:val="20"/>
          <w:szCs w:val="20"/>
        </w:rPr>
        <w:t>Ebnesina</w:t>
      </w:r>
      <w:proofErr w:type="spellEnd"/>
      <w:r>
        <w:rPr>
          <w:rFonts w:asciiTheme="majorBidi" w:eastAsia="Times New Roman" w:hAnsiTheme="majorBidi" w:cstheme="majorBidi"/>
          <w:kern w:val="36"/>
          <w:sz w:val="20"/>
          <w:szCs w:val="20"/>
        </w:rPr>
        <w:t xml:space="preserve"> square, Yazd, Iran</w:t>
      </w:r>
    </w:p>
    <w:p w:rsidR="002722C8" w:rsidRDefault="002722C8" w:rsidP="008752AF">
      <w:pPr>
        <w:spacing w:after="0" w:line="276" w:lineRule="auto"/>
        <w:outlineLvl w:val="0"/>
        <w:rPr>
          <w:rFonts w:asciiTheme="majorBidi" w:eastAsia="Times New Roman" w:hAnsiTheme="majorBidi" w:cstheme="majorBidi"/>
          <w:kern w:val="36"/>
          <w:sz w:val="20"/>
          <w:szCs w:val="20"/>
        </w:rPr>
      </w:pPr>
      <w:r>
        <w:rPr>
          <w:rFonts w:asciiTheme="majorBidi" w:eastAsia="Times New Roman" w:hAnsiTheme="majorBidi" w:cstheme="majorBidi"/>
          <w:kern w:val="36"/>
          <w:sz w:val="20"/>
          <w:szCs w:val="20"/>
        </w:rPr>
        <w:t>E</w:t>
      </w:r>
      <w:r w:rsidR="008752AF">
        <w:rPr>
          <w:rFonts w:asciiTheme="majorBidi" w:eastAsia="Times New Roman" w:hAnsiTheme="majorBidi" w:cstheme="majorBidi"/>
          <w:kern w:val="36"/>
          <w:sz w:val="20"/>
          <w:szCs w:val="20"/>
        </w:rPr>
        <w:t xml:space="preserve">-mail: baghbanian1352@gmail.com </w:t>
      </w:r>
    </w:p>
    <w:p w:rsidR="002722C8" w:rsidRDefault="008752AF" w:rsidP="002722C8">
      <w:pPr>
        <w:spacing w:after="0" w:line="276" w:lineRule="auto"/>
        <w:outlineLvl w:val="0"/>
        <w:rPr>
          <w:rFonts w:ascii="Times New Roman" w:hAnsi="Times New Roman" w:cs="Times New Roman"/>
          <w:color w:val="000000"/>
          <w:sz w:val="20"/>
          <w:szCs w:val="20"/>
          <w:shd w:val="clear" w:color="auto" w:fill="FFFFFF"/>
        </w:rPr>
      </w:pPr>
      <w:proofErr w:type="gramStart"/>
      <w:r>
        <w:rPr>
          <w:rFonts w:asciiTheme="majorBidi" w:eastAsia="Times New Roman" w:hAnsiTheme="majorBidi" w:cstheme="majorBidi"/>
          <w:kern w:val="36"/>
          <w:sz w:val="20"/>
          <w:szCs w:val="20"/>
        </w:rPr>
        <w:t xml:space="preserve">Tel </w:t>
      </w:r>
      <w:r w:rsidR="002722C8">
        <w:rPr>
          <w:rFonts w:asciiTheme="majorBidi" w:eastAsia="Times New Roman" w:hAnsiTheme="majorBidi" w:cstheme="majorBidi"/>
          <w:kern w:val="36"/>
          <w:sz w:val="20"/>
          <w:szCs w:val="20"/>
        </w:rPr>
        <w:t>:</w:t>
      </w:r>
      <w:proofErr w:type="gramEnd"/>
      <w:r w:rsidR="002722C8">
        <w:rPr>
          <w:rFonts w:asciiTheme="majorBidi" w:eastAsia="Times New Roman" w:hAnsiTheme="majorBidi" w:cstheme="majorBidi"/>
          <w:kern w:val="36"/>
          <w:sz w:val="20"/>
          <w:szCs w:val="20"/>
        </w:rPr>
        <w:t xml:space="preserve"> +98</w:t>
      </w:r>
      <w:r>
        <w:rPr>
          <w:rFonts w:asciiTheme="majorBidi" w:eastAsia="Times New Roman" w:hAnsiTheme="majorBidi" w:cstheme="majorBidi"/>
          <w:kern w:val="36"/>
          <w:sz w:val="20"/>
          <w:szCs w:val="20"/>
        </w:rPr>
        <w:t xml:space="preserve"> </w:t>
      </w:r>
      <w:r w:rsidR="002722C8">
        <w:rPr>
          <w:rFonts w:ascii="Times New Roman" w:hAnsi="Times New Roman" w:cs="Times New Roman"/>
          <w:color w:val="000000"/>
          <w:sz w:val="20"/>
          <w:szCs w:val="20"/>
          <w:shd w:val="clear" w:color="auto" w:fill="FFFFFF"/>
        </w:rPr>
        <w:t>3538224000</w:t>
      </w:r>
    </w:p>
    <w:p w:rsidR="002722C8" w:rsidRDefault="002722C8" w:rsidP="002722C8">
      <w:pPr>
        <w:spacing w:after="0" w:line="276" w:lineRule="auto"/>
        <w:outlineLvl w:val="0"/>
        <w:rPr>
          <w:rFonts w:asciiTheme="majorBidi" w:eastAsia="Times New Roman" w:hAnsiTheme="majorBidi" w:cstheme="majorBidi"/>
          <w:kern w:val="36"/>
          <w:sz w:val="20"/>
          <w:szCs w:val="20"/>
        </w:rPr>
      </w:pPr>
      <w:r>
        <w:rPr>
          <w:rFonts w:ascii="Times New Roman" w:hAnsi="Times New Roman" w:cs="Times New Roman"/>
          <w:color w:val="000000"/>
          <w:sz w:val="20"/>
          <w:szCs w:val="20"/>
          <w:shd w:val="clear" w:color="auto" w:fill="FFFFFF"/>
        </w:rPr>
        <w:t xml:space="preserve"> </w:t>
      </w:r>
      <w:proofErr w:type="gramStart"/>
      <w:r>
        <w:rPr>
          <w:rFonts w:ascii="Times New Roman" w:hAnsi="Times New Roman" w:cs="Times New Roman"/>
          <w:color w:val="000000"/>
          <w:sz w:val="20"/>
          <w:szCs w:val="20"/>
          <w:shd w:val="clear" w:color="auto" w:fill="FFFFFF"/>
        </w:rPr>
        <w:t>Fax</w:t>
      </w:r>
      <w:r w:rsidR="008752AF">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w:t>
      </w:r>
      <w:proofErr w:type="gramEnd"/>
      <w:r>
        <w:rPr>
          <w:rFonts w:ascii="Times New Roman" w:hAnsi="Times New Roman" w:cs="Times New Roman"/>
          <w:color w:val="000000"/>
          <w:sz w:val="20"/>
          <w:szCs w:val="20"/>
          <w:shd w:val="clear" w:color="auto" w:fill="FFFFFF"/>
        </w:rPr>
        <w:t xml:space="preserve"> +98</w:t>
      </w:r>
      <w:r w:rsidR="008752AF">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3538224100</w:t>
      </w:r>
    </w:p>
    <w:p w:rsidR="002722C8" w:rsidRDefault="002722C8" w:rsidP="002722C8">
      <w:pPr>
        <w:spacing w:after="0" w:line="480" w:lineRule="auto"/>
        <w:outlineLvl w:val="0"/>
        <w:rPr>
          <w:rFonts w:asciiTheme="majorBidi" w:eastAsia="Times New Roman" w:hAnsiTheme="majorBidi" w:cstheme="majorBidi"/>
          <w:b/>
          <w:bCs/>
          <w:kern w:val="36"/>
          <w:sz w:val="24"/>
          <w:szCs w:val="24"/>
        </w:rPr>
      </w:pPr>
    </w:p>
    <w:p w:rsidR="002722C8" w:rsidRPr="008752AF" w:rsidRDefault="008752AF" w:rsidP="002722C8">
      <w:pPr>
        <w:spacing w:after="0" w:line="480" w:lineRule="auto"/>
        <w:outlineLvl w:val="0"/>
        <w:rPr>
          <w:rFonts w:asciiTheme="majorBidi" w:eastAsia="Times New Roman" w:hAnsiTheme="majorBidi" w:cstheme="majorBidi"/>
          <w:kern w:val="36"/>
          <w:sz w:val="24"/>
          <w:szCs w:val="24"/>
        </w:rPr>
      </w:pPr>
      <w:proofErr w:type="gramStart"/>
      <w:r w:rsidRPr="008752AF">
        <w:rPr>
          <w:rFonts w:asciiTheme="majorBidi" w:eastAsia="Times New Roman" w:hAnsiTheme="majorBidi" w:cstheme="majorBidi"/>
          <w:kern w:val="36"/>
          <w:sz w:val="24"/>
          <w:szCs w:val="24"/>
        </w:rPr>
        <w:t>Received :</w:t>
      </w:r>
      <w:proofErr w:type="gramEnd"/>
      <w:r>
        <w:rPr>
          <w:rFonts w:asciiTheme="majorBidi" w:eastAsia="Times New Roman" w:hAnsiTheme="majorBidi" w:cstheme="majorBidi"/>
          <w:kern w:val="36"/>
          <w:sz w:val="24"/>
          <w:szCs w:val="24"/>
        </w:rPr>
        <w:t xml:space="preserve"> 12 Nov. 2016</w:t>
      </w:r>
    </w:p>
    <w:p w:rsidR="008752AF" w:rsidRPr="008752AF" w:rsidRDefault="008752AF" w:rsidP="002722C8">
      <w:pPr>
        <w:spacing w:after="0" w:line="480" w:lineRule="auto"/>
        <w:outlineLvl w:val="0"/>
        <w:rPr>
          <w:rFonts w:asciiTheme="majorBidi" w:eastAsia="Times New Roman" w:hAnsiTheme="majorBidi" w:cstheme="majorBidi"/>
          <w:kern w:val="36"/>
          <w:sz w:val="24"/>
          <w:szCs w:val="24"/>
        </w:rPr>
      </w:pPr>
      <w:r w:rsidRPr="008752AF">
        <w:rPr>
          <w:rFonts w:asciiTheme="majorBidi" w:eastAsia="Times New Roman" w:hAnsiTheme="majorBidi" w:cstheme="majorBidi"/>
          <w:kern w:val="36"/>
          <w:sz w:val="24"/>
          <w:szCs w:val="24"/>
        </w:rPr>
        <w:t>Edited:</w:t>
      </w:r>
      <w:r>
        <w:rPr>
          <w:rFonts w:asciiTheme="majorBidi" w:eastAsia="Times New Roman" w:hAnsiTheme="majorBidi" w:cstheme="majorBidi"/>
          <w:kern w:val="36"/>
          <w:sz w:val="24"/>
          <w:szCs w:val="24"/>
        </w:rPr>
        <w:t xml:space="preserve"> 10 Mar. 2017</w:t>
      </w:r>
    </w:p>
    <w:p w:rsidR="008752AF" w:rsidRPr="008752AF" w:rsidRDefault="008752AF" w:rsidP="008752AF">
      <w:pPr>
        <w:spacing w:after="0" w:line="480" w:lineRule="auto"/>
        <w:outlineLvl w:val="0"/>
        <w:rPr>
          <w:rFonts w:asciiTheme="majorBidi" w:eastAsia="Times New Roman" w:hAnsiTheme="majorBidi" w:cstheme="majorBidi"/>
          <w:kern w:val="36"/>
          <w:sz w:val="24"/>
          <w:szCs w:val="24"/>
        </w:rPr>
      </w:pPr>
      <w:proofErr w:type="gramStart"/>
      <w:r w:rsidRPr="008752AF">
        <w:rPr>
          <w:rFonts w:asciiTheme="majorBidi" w:eastAsia="Times New Roman" w:hAnsiTheme="majorBidi" w:cstheme="majorBidi"/>
          <w:kern w:val="36"/>
          <w:sz w:val="24"/>
          <w:szCs w:val="24"/>
        </w:rPr>
        <w:t>Accepted :</w:t>
      </w:r>
      <w:proofErr w:type="gramEnd"/>
      <w:r>
        <w:rPr>
          <w:rFonts w:asciiTheme="majorBidi" w:eastAsia="Times New Roman" w:hAnsiTheme="majorBidi" w:cstheme="majorBidi"/>
          <w:kern w:val="36"/>
          <w:sz w:val="24"/>
          <w:szCs w:val="24"/>
        </w:rPr>
        <w:t xml:space="preserve"> 11 Mar. 2017</w:t>
      </w:r>
    </w:p>
    <w:p w:rsidR="008752AF" w:rsidRPr="008752AF" w:rsidRDefault="008752AF" w:rsidP="002722C8">
      <w:pPr>
        <w:spacing w:after="0" w:line="480" w:lineRule="auto"/>
        <w:outlineLvl w:val="0"/>
        <w:rPr>
          <w:rFonts w:asciiTheme="majorBidi" w:eastAsia="Times New Roman" w:hAnsiTheme="majorBidi" w:cstheme="majorBidi"/>
          <w:kern w:val="36"/>
          <w:sz w:val="24"/>
          <w:szCs w:val="24"/>
        </w:rPr>
      </w:pPr>
    </w:p>
    <w:p w:rsidR="008752AF" w:rsidRDefault="008752AF" w:rsidP="002722C8">
      <w:pPr>
        <w:spacing w:after="0" w:line="480" w:lineRule="auto"/>
        <w:outlineLvl w:val="0"/>
        <w:rPr>
          <w:rFonts w:asciiTheme="majorBidi" w:eastAsia="Times New Roman" w:hAnsiTheme="majorBidi" w:cstheme="majorBidi"/>
          <w:kern w:val="36"/>
          <w:sz w:val="24"/>
          <w:szCs w:val="24"/>
        </w:rPr>
      </w:pPr>
    </w:p>
    <w:p w:rsidR="008752AF" w:rsidRDefault="008752AF" w:rsidP="002722C8">
      <w:pPr>
        <w:spacing w:after="0" w:line="480" w:lineRule="auto"/>
        <w:outlineLvl w:val="0"/>
        <w:rPr>
          <w:rFonts w:asciiTheme="majorBidi" w:eastAsia="Times New Roman" w:hAnsiTheme="majorBidi" w:cstheme="majorBidi"/>
          <w:kern w:val="36"/>
          <w:sz w:val="24"/>
          <w:szCs w:val="24"/>
        </w:rPr>
      </w:pPr>
    </w:p>
    <w:p w:rsidR="008752AF" w:rsidRDefault="008752AF" w:rsidP="002722C8">
      <w:pPr>
        <w:spacing w:after="0" w:line="480" w:lineRule="auto"/>
        <w:outlineLvl w:val="0"/>
        <w:rPr>
          <w:rFonts w:asciiTheme="majorBidi" w:eastAsia="Times New Roman" w:hAnsiTheme="majorBidi" w:cstheme="majorBidi"/>
          <w:kern w:val="36"/>
          <w:sz w:val="24"/>
          <w:szCs w:val="24"/>
        </w:rPr>
      </w:pPr>
    </w:p>
    <w:p w:rsidR="008752AF" w:rsidRPr="00B10433" w:rsidRDefault="008752AF" w:rsidP="008752AF">
      <w:pPr>
        <w:spacing w:after="0" w:line="480" w:lineRule="auto"/>
        <w:outlineLvl w:val="0"/>
        <w:rPr>
          <w:rFonts w:asciiTheme="majorBidi" w:eastAsia="Times New Roman" w:hAnsiTheme="majorBidi" w:cstheme="majorBidi"/>
          <w:kern w:val="36"/>
        </w:rPr>
      </w:pPr>
      <w:r w:rsidRPr="00B10433">
        <w:rPr>
          <w:rFonts w:asciiTheme="majorBidi" w:eastAsia="Times New Roman" w:hAnsiTheme="majorBidi" w:cstheme="majorBidi"/>
          <w:kern w:val="36"/>
        </w:rPr>
        <w:lastRenderedPageBreak/>
        <w:t xml:space="preserve">Please cite this paper </w:t>
      </w:r>
      <w:proofErr w:type="gramStart"/>
      <w:r w:rsidRPr="00B10433">
        <w:rPr>
          <w:rFonts w:asciiTheme="majorBidi" w:eastAsia="Times New Roman" w:hAnsiTheme="majorBidi" w:cstheme="majorBidi"/>
          <w:kern w:val="36"/>
        </w:rPr>
        <w:t>as :</w:t>
      </w:r>
      <w:proofErr w:type="gramEnd"/>
    </w:p>
    <w:p w:rsidR="008752AF" w:rsidRPr="00B10433" w:rsidRDefault="008752AF" w:rsidP="008752AF">
      <w:pPr>
        <w:spacing w:after="0" w:line="480" w:lineRule="auto"/>
        <w:outlineLvl w:val="0"/>
        <w:rPr>
          <w:rFonts w:asciiTheme="majorBidi" w:eastAsia="Times New Roman" w:hAnsiTheme="majorBidi" w:cstheme="majorBidi"/>
          <w:kern w:val="36"/>
        </w:rPr>
      </w:pPr>
      <w:r w:rsidRPr="00B10433">
        <w:rPr>
          <w:rFonts w:asciiTheme="majorBidi" w:eastAsia="Times New Roman" w:hAnsiTheme="majorBidi" w:cstheme="majorBidi"/>
          <w:kern w:val="36"/>
        </w:rPr>
        <w:t xml:space="preserve">Baghbanian M, </w:t>
      </w:r>
      <w:proofErr w:type="spellStart"/>
      <w:r w:rsidRPr="00B10433">
        <w:rPr>
          <w:rFonts w:asciiTheme="majorBidi" w:eastAsia="Times New Roman" w:hAnsiTheme="majorBidi" w:cstheme="majorBidi"/>
          <w:kern w:val="36"/>
        </w:rPr>
        <w:t>Salmanroghani</w:t>
      </w:r>
      <w:proofErr w:type="spellEnd"/>
      <w:r w:rsidRPr="00B10433">
        <w:rPr>
          <w:rFonts w:asciiTheme="majorBidi" w:eastAsia="Times New Roman" w:hAnsiTheme="majorBidi" w:cstheme="majorBidi"/>
          <w:kern w:val="36"/>
        </w:rPr>
        <w:t xml:space="preserve"> H, </w:t>
      </w:r>
      <w:proofErr w:type="spellStart"/>
      <w:r w:rsidRPr="00B10433">
        <w:rPr>
          <w:rFonts w:asciiTheme="majorBidi" w:eastAsia="Times New Roman" w:hAnsiTheme="majorBidi" w:cstheme="majorBidi"/>
          <w:kern w:val="36"/>
        </w:rPr>
        <w:t>BorhaniMoghadam</w:t>
      </w:r>
      <w:proofErr w:type="spellEnd"/>
      <w:r w:rsidRPr="00B10433">
        <w:rPr>
          <w:rFonts w:asciiTheme="majorBidi" w:eastAsia="Times New Roman" w:hAnsiTheme="majorBidi" w:cstheme="majorBidi"/>
          <w:kern w:val="36"/>
        </w:rPr>
        <w:t xml:space="preserve"> M, Zolfaghari M. Indications, One-Year Survival, and Complications of Percutaneous Endoscopic Gastrostomy: A Cross Sectional Study. </w:t>
      </w:r>
      <w:proofErr w:type="spellStart"/>
      <w:r w:rsidRPr="00B10433">
        <w:rPr>
          <w:rFonts w:asciiTheme="majorBidi" w:eastAsia="Times New Roman" w:hAnsiTheme="majorBidi" w:cstheme="majorBidi"/>
          <w:i/>
          <w:iCs/>
          <w:kern w:val="36"/>
        </w:rPr>
        <w:t>Govaresh</w:t>
      </w:r>
      <w:proofErr w:type="spellEnd"/>
      <w:r w:rsidRPr="00B10433">
        <w:rPr>
          <w:rFonts w:asciiTheme="majorBidi" w:eastAsia="Times New Roman" w:hAnsiTheme="majorBidi" w:cstheme="majorBidi"/>
          <w:kern w:val="36"/>
        </w:rPr>
        <w:t xml:space="preserve"> 2017</w:t>
      </w:r>
      <w:proofErr w:type="gramStart"/>
      <w:r w:rsidRPr="00B10433">
        <w:rPr>
          <w:rFonts w:asciiTheme="majorBidi" w:eastAsia="Times New Roman" w:hAnsiTheme="majorBidi" w:cstheme="majorBidi"/>
          <w:kern w:val="36"/>
        </w:rPr>
        <w:t>;22</w:t>
      </w:r>
      <w:proofErr w:type="gramEnd"/>
      <w:r w:rsidRPr="00B10433">
        <w:rPr>
          <w:rFonts w:asciiTheme="majorBidi" w:eastAsia="Times New Roman" w:hAnsiTheme="majorBidi" w:cstheme="majorBidi"/>
          <w:kern w:val="36"/>
        </w:rPr>
        <w:t>:??????</w:t>
      </w:r>
    </w:p>
    <w:p w:rsidR="002722C8" w:rsidRDefault="002722C8" w:rsidP="002722C8">
      <w:pPr>
        <w:spacing w:after="0" w:line="480" w:lineRule="auto"/>
        <w:jc w:val="center"/>
        <w:outlineLvl w:val="0"/>
        <w:rPr>
          <w:rFonts w:asciiTheme="majorBidi" w:eastAsia="Times New Roman" w:hAnsiTheme="majorBidi" w:cstheme="majorBidi"/>
          <w:b/>
          <w:bCs/>
          <w:kern w:val="36"/>
          <w:sz w:val="24"/>
          <w:szCs w:val="24"/>
        </w:rPr>
      </w:pPr>
    </w:p>
    <w:p w:rsidR="002722C8" w:rsidRPr="002722C8" w:rsidRDefault="002722C8" w:rsidP="002722C8">
      <w:pPr>
        <w:spacing w:after="0" w:line="480" w:lineRule="auto"/>
        <w:jc w:val="center"/>
        <w:outlineLvl w:val="0"/>
        <w:rPr>
          <w:rFonts w:asciiTheme="majorBidi" w:eastAsia="Times New Roman" w:hAnsiTheme="majorBidi" w:cstheme="majorBidi"/>
          <w:color w:val="00B0F0"/>
          <w:kern w:val="36"/>
          <w:sz w:val="24"/>
          <w:szCs w:val="24"/>
        </w:rPr>
      </w:pPr>
      <w:r w:rsidRPr="002722C8">
        <w:rPr>
          <w:rFonts w:asciiTheme="majorBidi" w:eastAsia="Times New Roman" w:hAnsiTheme="majorBidi" w:cstheme="majorBidi"/>
          <w:color w:val="00B0F0"/>
          <w:kern w:val="36"/>
          <w:sz w:val="24"/>
          <w:szCs w:val="24"/>
        </w:rPr>
        <w:t>ABSTRACT</w:t>
      </w:r>
    </w:p>
    <w:p w:rsidR="009F1ADC"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b/>
          <w:bCs/>
          <w:kern w:val="36"/>
          <w:sz w:val="24"/>
          <w:szCs w:val="24"/>
        </w:rPr>
        <w:t>Background:</w:t>
      </w:r>
      <w:r>
        <w:rPr>
          <w:rFonts w:asciiTheme="majorBidi" w:eastAsia="Times New Roman" w:hAnsiTheme="majorBidi" w:cstheme="majorBidi"/>
          <w:kern w:val="36"/>
          <w:sz w:val="24"/>
          <w:szCs w:val="24"/>
        </w:rPr>
        <w:t xml:space="preserve"> </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Providing ways for long-term feeding is essential for those who are not able to ingest. Percutaneous endoscopic gastrostomy (PEG) is a type of enteral feeding methods. The aim of this study was to evaluate the complications, indications, and one-year survival of this method in patients who underwent PEG.</w:t>
      </w:r>
    </w:p>
    <w:p w:rsidR="009F1ADC" w:rsidRDefault="002722C8" w:rsidP="009F1ADC">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b/>
          <w:bCs/>
          <w:kern w:val="36"/>
          <w:sz w:val="24"/>
          <w:szCs w:val="24"/>
        </w:rPr>
        <w:t xml:space="preserve">Materials </w:t>
      </w:r>
      <w:r w:rsidR="009F1ADC">
        <w:rPr>
          <w:rFonts w:asciiTheme="majorBidi" w:eastAsia="Times New Roman" w:hAnsiTheme="majorBidi" w:cstheme="majorBidi"/>
          <w:b/>
          <w:bCs/>
          <w:kern w:val="36"/>
          <w:sz w:val="24"/>
          <w:szCs w:val="24"/>
        </w:rPr>
        <w:t>and</w:t>
      </w:r>
      <w:r>
        <w:rPr>
          <w:rFonts w:asciiTheme="majorBidi" w:eastAsia="Times New Roman" w:hAnsiTheme="majorBidi" w:cstheme="majorBidi"/>
          <w:b/>
          <w:bCs/>
          <w:kern w:val="36"/>
          <w:sz w:val="24"/>
          <w:szCs w:val="24"/>
        </w:rPr>
        <w:t> Methods:</w:t>
      </w:r>
      <w:r>
        <w:rPr>
          <w:rFonts w:asciiTheme="majorBidi" w:eastAsia="Times New Roman" w:hAnsiTheme="majorBidi" w:cstheme="majorBidi"/>
          <w:kern w:val="36"/>
          <w:sz w:val="24"/>
          <w:szCs w:val="24"/>
        </w:rPr>
        <w:t xml:space="preserve"> </w:t>
      </w:r>
    </w:p>
    <w:p w:rsidR="002722C8" w:rsidRDefault="002722C8" w:rsidP="009F1ADC">
      <w:pPr>
        <w:spacing w:after="0" w:line="480" w:lineRule="auto"/>
        <w:jc w:val="both"/>
        <w:outlineLvl w:val="0"/>
        <w:rPr>
          <w:rFonts w:ascii="Times New Roman" w:hAnsi="Times New Roman" w:cs="B Nazanin"/>
          <w:sz w:val="24"/>
          <w:szCs w:val="24"/>
        </w:rPr>
      </w:pPr>
      <w:r>
        <w:rPr>
          <w:rFonts w:asciiTheme="majorBidi" w:eastAsia="Times New Roman" w:hAnsiTheme="majorBidi" w:cstheme="majorBidi"/>
          <w:kern w:val="36"/>
          <w:sz w:val="24"/>
          <w:szCs w:val="24"/>
        </w:rPr>
        <w:t xml:space="preserve">The cross-sectional study was carried out on 97 patients (census sampling) who had referred to </w:t>
      </w:r>
      <w:proofErr w:type="spellStart"/>
      <w:r>
        <w:rPr>
          <w:rFonts w:ascii="Times New Roman" w:hAnsi="Times New Roman" w:cs="B Nazanin"/>
          <w:sz w:val="24"/>
          <w:szCs w:val="24"/>
        </w:rPr>
        <w:t>Shahid</w:t>
      </w:r>
      <w:proofErr w:type="spellEnd"/>
      <w:r>
        <w:rPr>
          <w:rFonts w:ascii="Times New Roman" w:hAnsi="Times New Roman" w:cs="B Nazanin"/>
          <w:sz w:val="24"/>
          <w:szCs w:val="24"/>
        </w:rPr>
        <w:t xml:space="preserve"> </w:t>
      </w:r>
      <w:proofErr w:type="spellStart"/>
      <w:r>
        <w:rPr>
          <w:rFonts w:ascii="Times New Roman" w:hAnsi="Times New Roman" w:cs="B Nazanin"/>
          <w:sz w:val="24"/>
          <w:szCs w:val="24"/>
        </w:rPr>
        <w:t>Sadoughi</w:t>
      </w:r>
      <w:proofErr w:type="spellEnd"/>
      <w:r>
        <w:rPr>
          <w:rFonts w:ascii="Times New Roman" w:hAnsi="Times New Roman" w:cs="B Nazanin"/>
          <w:sz w:val="24"/>
          <w:szCs w:val="24"/>
        </w:rPr>
        <w:t xml:space="preserve"> Hospital in Yazd (Iran) </w:t>
      </w:r>
      <w:r>
        <w:rPr>
          <w:rFonts w:asciiTheme="majorBidi" w:eastAsia="Times New Roman" w:hAnsiTheme="majorBidi" w:cstheme="majorBidi"/>
          <w:kern w:val="36"/>
          <w:sz w:val="24"/>
          <w:szCs w:val="24"/>
        </w:rPr>
        <w:t>for PEG tube placement in the period of March 2014 to March 2016. Data were collected using a researcher-made questionnaire and were analyzed using SPSS software version 18.</w:t>
      </w:r>
    </w:p>
    <w:p w:rsidR="009F1ADC"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b/>
          <w:bCs/>
          <w:kern w:val="36"/>
          <w:sz w:val="24"/>
          <w:szCs w:val="24"/>
        </w:rPr>
        <w:t>Results:</w:t>
      </w:r>
      <w:r>
        <w:rPr>
          <w:rFonts w:asciiTheme="majorBidi" w:eastAsia="Times New Roman" w:hAnsiTheme="majorBidi" w:cstheme="majorBidi"/>
          <w:kern w:val="36"/>
          <w:sz w:val="24"/>
          <w:szCs w:val="24"/>
        </w:rPr>
        <w:t xml:space="preserve"> </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Cerebrovascular accident (CVA) was the most reason to refer to the hospital (52 cases, [%53.6]) followed by head and neck trauma (32 cases [33%]), head and neck tumors (6 cases, [6.2%]), ischemic encephalopathy (5 cases, [5.2%]), and burning (head trauma) (2 cases [1.2%]). Wound infection was observed in eight cases (8.2%), aspiration in three cases (1.3%), bleeding in three cases (3.1%), external leakage in two cases (2.1%), unplanned removal in two cases (2.1%), subcutaneous abscess in one patient (1%), and recurrent vomiting in one patient (1%). One year survival was measured 83.5%.</w:t>
      </w:r>
    </w:p>
    <w:p w:rsidR="009F1ADC" w:rsidRDefault="002722C8" w:rsidP="002722C8">
      <w:pPr>
        <w:spacing w:after="0" w:line="480" w:lineRule="auto"/>
        <w:jc w:val="both"/>
        <w:outlineLvl w:val="0"/>
        <w:rPr>
          <w:rFonts w:asciiTheme="majorBidi" w:eastAsia="Times New Roman" w:hAnsiTheme="majorBidi" w:cstheme="majorBidi"/>
          <w:b/>
          <w:bCs/>
          <w:kern w:val="36"/>
          <w:sz w:val="24"/>
          <w:szCs w:val="24"/>
        </w:rPr>
      </w:pPr>
      <w:r>
        <w:rPr>
          <w:rFonts w:asciiTheme="majorBidi" w:eastAsia="Times New Roman" w:hAnsiTheme="majorBidi" w:cstheme="majorBidi"/>
          <w:b/>
          <w:bCs/>
          <w:kern w:val="36"/>
          <w:sz w:val="24"/>
          <w:szCs w:val="24"/>
        </w:rPr>
        <w:t>Conclusion</w:t>
      </w:r>
      <w:r w:rsidR="009F1ADC">
        <w:rPr>
          <w:rFonts w:asciiTheme="majorBidi" w:eastAsia="Times New Roman" w:hAnsiTheme="majorBidi" w:cstheme="majorBidi"/>
          <w:b/>
          <w:bCs/>
          <w:kern w:val="36"/>
          <w:sz w:val="24"/>
          <w:szCs w:val="24"/>
        </w:rPr>
        <w:t>s</w:t>
      </w:r>
      <w:r>
        <w:rPr>
          <w:rFonts w:asciiTheme="majorBidi" w:eastAsia="Times New Roman" w:hAnsiTheme="majorBidi" w:cstheme="majorBidi"/>
          <w:b/>
          <w:bCs/>
          <w:kern w:val="36"/>
          <w:sz w:val="24"/>
          <w:szCs w:val="24"/>
        </w:rPr>
        <w:t>:</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lastRenderedPageBreak/>
        <w:t xml:space="preserve"> PEG tube is a very convenient feeding method. Its complications are limited compared with its benefits and it is useful for patients who have trouble in ingestion for a long time. Early discharge from the hospital, especially the intensive care units, reduces costs and length of hospital stay.</w:t>
      </w:r>
    </w:p>
    <w:p w:rsidR="002722C8" w:rsidRDefault="002722C8" w:rsidP="002722C8">
      <w:pPr>
        <w:spacing w:after="0" w:line="480" w:lineRule="auto"/>
        <w:jc w:val="both"/>
        <w:outlineLvl w:val="0"/>
        <w:rPr>
          <w:rFonts w:asciiTheme="majorBidi" w:eastAsia="Times New Roman" w:hAnsiTheme="majorBidi" w:cstheme="majorBidi"/>
          <w:b/>
          <w:bCs/>
          <w:kern w:val="36"/>
          <w:sz w:val="24"/>
          <w:szCs w:val="24"/>
        </w:rPr>
      </w:pPr>
    </w:p>
    <w:p w:rsidR="009F1ADC" w:rsidRDefault="002722C8" w:rsidP="009F1ADC">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b/>
          <w:bCs/>
          <w:kern w:val="36"/>
          <w:sz w:val="24"/>
          <w:szCs w:val="24"/>
        </w:rPr>
        <w:t>Keywords:</w:t>
      </w:r>
      <w:r>
        <w:rPr>
          <w:rFonts w:asciiTheme="majorBidi" w:eastAsia="Times New Roman" w:hAnsiTheme="majorBidi" w:cstheme="majorBidi"/>
          <w:kern w:val="36"/>
          <w:sz w:val="24"/>
          <w:szCs w:val="24"/>
        </w:rPr>
        <w:t xml:space="preserve"> </w:t>
      </w:r>
      <w:r>
        <w:rPr>
          <w:rStyle w:val="highlight"/>
          <w:rFonts w:ascii="Times New Roman" w:hAnsi="Times New Roman" w:cs="Times New Roman"/>
          <w:sz w:val="24"/>
          <w:szCs w:val="24"/>
        </w:rPr>
        <w:t xml:space="preserve">Enteral nutrition, </w:t>
      </w:r>
      <w:r w:rsidR="009F1ADC">
        <w:rPr>
          <w:rStyle w:val="highlight"/>
          <w:rFonts w:ascii="Times New Roman" w:hAnsi="Times New Roman" w:cs="Times New Roman"/>
          <w:sz w:val="24"/>
          <w:szCs w:val="24"/>
        </w:rPr>
        <w:t>G</w:t>
      </w:r>
      <w:r>
        <w:rPr>
          <w:rStyle w:val="highlight"/>
          <w:rFonts w:ascii="Times New Roman" w:hAnsi="Times New Roman" w:cs="Times New Roman"/>
          <w:sz w:val="24"/>
          <w:szCs w:val="24"/>
        </w:rPr>
        <w:t xml:space="preserve">astrostomy, </w:t>
      </w:r>
      <w:r w:rsidR="009F1ADC">
        <w:rPr>
          <w:rStyle w:val="highlight"/>
          <w:rFonts w:ascii="Times New Roman" w:hAnsi="Times New Roman" w:cs="Times New Roman"/>
          <w:sz w:val="24"/>
          <w:szCs w:val="24"/>
        </w:rPr>
        <w:t>E</w:t>
      </w:r>
      <w:r>
        <w:rPr>
          <w:rStyle w:val="highlight"/>
          <w:rFonts w:ascii="Times New Roman" w:hAnsi="Times New Roman" w:cs="Times New Roman"/>
          <w:sz w:val="24"/>
          <w:szCs w:val="24"/>
        </w:rPr>
        <w:t xml:space="preserve">ndoscopy, PEG tube, </w:t>
      </w:r>
      <w:r w:rsidR="009F1ADC">
        <w:rPr>
          <w:rStyle w:val="highlight"/>
          <w:rFonts w:ascii="Times New Roman" w:hAnsi="Times New Roman" w:cs="Times New Roman"/>
          <w:sz w:val="24"/>
          <w:szCs w:val="24"/>
        </w:rPr>
        <w:t>C</w:t>
      </w:r>
      <w:r>
        <w:rPr>
          <w:rStyle w:val="highlight"/>
          <w:rFonts w:ascii="Times New Roman" w:hAnsi="Times New Roman" w:cs="Times New Roman"/>
          <w:sz w:val="24"/>
          <w:szCs w:val="24"/>
        </w:rPr>
        <w:t>omplication</w:t>
      </w:r>
    </w:p>
    <w:p w:rsidR="009F1ADC" w:rsidRDefault="009F1ADC" w:rsidP="009F1ADC">
      <w:pPr>
        <w:spacing w:after="0" w:line="480" w:lineRule="auto"/>
        <w:jc w:val="both"/>
        <w:outlineLvl w:val="0"/>
        <w:rPr>
          <w:rFonts w:asciiTheme="majorBidi" w:eastAsia="Times New Roman" w:hAnsiTheme="majorBidi" w:cstheme="majorBidi"/>
          <w:kern w:val="36"/>
          <w:sz w:val="24"/>
          <w:szCs w:val="24"/>
        </w:rPr>
      </w:pPr>
    </w:p>
    <w:p w:rsidR="002722C8" w:rsidRPr="009F1ADC" w:rsidRDefault="009F1ADC" w:rsidP="009F1ADC">
      <w:pPr>
        <w:spacing w:after="0" w:line="480" w:lineRule="auto"/>
        <w:jc w:val="both"/>
        <w:outlineLvl w:val="0"/>
        <w:rPr>
          <w:rFonts w:asciiTheme="majorBidi" w:eastAsia="Times New Roman" w:hAnsiTheme="majorBidi" w:cstheme="majorBidi"/>
          <w:color w:val="00B0F0"/>
          <w:kern w:val="36"/>
          <w:sz w:val="24"/>
          <w:szCs w:val="24"/>
        </w:rPr>
      </w:pPr>
      <w:r w:rsidRPr="009F1ADC">
        <w:rPr>
          <w:rFonts w:asciiTheme="majorBidi" w:eastAsia="Times New Roman" w:hAnsiTheme="majorBidi" w:cstheme="majorBidi"/>
          <w:color w:val="00B0F0"/>
          <w:kern w:val="36"/>
          <w:sz w:val="24"/>
          <w:szCs w:val="24"/>
        </w:rPr>
        <w:t>INTRODUCTION</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Providing appropriate feeding method is essential for patients who are unable of receiving oral intake because of an underlying condition. With malnutrition, patients’ condition deteriorates and their problems are aggravated. Total intravenous feeding is one of these methods, which is the next priority of nutritional methods due to its costs and complications. Another way is enteral feeding, which is currently widely accepted by physicians and even by patients' families due to its low complications, low cost, maintaining the integrity of the immune system in the gut, taking advantage of micronutrients and macronutrients, and easy maintenance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&lt;EndNote&gt;&lt;Cite&gt;&lt;Author&gt;Kozeniecki&lt;/Author&gt;&lt;Year&gt;2015&lt;/Year&gt;&lt;RecNum&gt;1&lt;/RecNum&gt;&lt;DisplayText&gt;(1)&lt;/DisplayText&gt;&lt;record&gt;&lt;rec-number&gt;1&lt;/rec-number&gt;&lt;foreign-keys&gt;&lt;key app="EN" db-id="2a5vttsxzf9a2qe9vfk50zfq9txpxe9av9rx" timestamp="1486398262"&gt;1&lt;/key&gt;&lt;/foreign-keys&gt;&lt;ref-type name="Journal Article"&gt;17&lt;/ref-type&gt;&lt;contributors&gt;&lt;authors&gt;&lt;author&gt;Kozeniecki, Michelle&lt;/author&gt;&lt;author&gt;Fritzshall, Rebecca&lt;/author&gt;&lt;/authors&gt;&lt;/contributors&gt;&lt;titles&gt;&lt;title&gt;Enteral nutrition for adults in the hospital setting&lt;/title&gt;&lt;secondary-title&gt;Nutrition in Clinical Practice&lt;/secondary-title&gt;&lt;/titles&gt;&lt;periodical&gt;&lt;full-title&gt;Nutrition in Clinical Practice&lt;/full-title&gt;&lt;/periodical&gt;&lt;pages&gt;634-651&lt;/pages&gt;&lt;volume&gt;30&lt;/volume&gt;&lt;number&gt;5&lt;/number&gt;&lt;dates&gt;&lt;year&gt;2015&lt;/year&gt;&lt;/dates&gt;&lt;isbn&gt;0884-5336&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(1)</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w:t>
      </w:r>
    </w:p>
    <w:p w:rsidR="002722C8" w:rsidRDefault="002722C8" w:rsidP="002722C8">
      <w:pPr>
        <w:spacing w:after="0" w:line="480" w:lineRule="auto"/>
        <w:ind w:firstLine="72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With the introduction of percutaneous endoscopic gastrostomy (PEG) in the 1980s, an effective method was created for long-term enteral feeding. In this method, a flexible tube directs food from the outside into the stomach using endoscopic technique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&lt;EndNote&gt;&lt;Cite&gt;&lt;Author&gt;Cosentini&lt;/Author&gt;&lt;Year&gt;1998&lt;/Year&gt;&lt;RecNum&gt;2&lt;/RecNum&gt;&lt;DisplayText&gt;(2, 3)&lt;/DisplayText&gt;&lt;record&gt;&lt;rec-number&gt;2&lt;/rec-number&gt;&lt;foreign-keys&gt;&lt;key app="EN" db-id="2a5vttsxzf9a2qe9vfk50zfq9txpxe9av9rx" timestamp="1486398328"&gt;2&lt;/key&gt;&lt;/foreign-keys&gt;&lt;ref-type name="Journal Article"&gt;17&lt;/ref-type&gt;&lt;contributors&gt;&lt;authors&gt;&lt;author&gt;Cosentini, Enrico P&lt;/author&gt;&lt;author&gt;Sautner, Thomas&lt;/author&gt;&lt;author&gt;Gnant, Michael&lt;/author&gt;&lt;author&gt;Winkelbauer, Friedrich&lt;/author&gt;&lt;author&gt;Teleky, Bela&lt;/author&gt;&lt;author&gt;Jakesz, Raimund&lt;/author&gt;&lt;/authors&gt;&lt;/contributors&gt;&lt;titles&gt;&lt;title&gt;Outcomes of surgical, percutaneous endoscopic, and percutaneous radiologic gastrostomies&lt;/title&gt;&lt;secondary-title&gt;Archives of Surgery&lt;/secondary-title&gt;&lt;/titles&gt;&lt;periodical&gt;&lt;full-title&gt;Archives of Surgery&lt;/full-title&gt;&lt;/periodical&gt;&lt;pages&gt;1076-1083&lt;/pages&gt;&lt;volume&gt;133&lt;/volume&gt;&lt;number&gt;10&lt;/number&gt;&lt;dates&gt;&lt;year&gt;1998&lt;/year&gt;&lt;/dates&gt;&lt;isbn&gt;0004-0010&lt;/isbn&gt;&lt;urls&gt;&lt;/urls&gt;&lt;/record&gt;&lt;/Cite&gt;&lt;Cite&gt;&lt;Author&gt;Gauderer&lt;/Author&gt;&lt;Year&gt;1980&lt;/Year&gt;&lt;RecNum&gt;3&lt;/RecNum&gt;&lt;record&gt;&lt;rec-number&gt;3&lt;/rec-number&gt;&lt;foreign-keys&gt;&lt;key app="EN" db-id="2a5vttsxzf9a2qe9vfk50zfq9txpxe9av9rx" timestamp="1486398351"&gt;3&lt;/key&gt;&lt;/foreign-keys&gt;&lt;ref-type name="Journal Article"&gt;17&lt;/ref-type&gt;&lt;contributors&gt;&lt;authors&gt;&lt;author&gt;Gauderer, Michael WL&lt;/author&gt;&lt;author&gt;Ponsky, Jeffrey L&lt;/author&gt;&lt;author&gt;Izant, Robert J&lt;/author&gt;&lt;/authors&gt;&lt;/contributors&gt;&lt;titles&gt;&lt;title&gt;Gastrostomy without laparotomy: a percutaneous endoscopic technique&lt;/title&gt;&lt;secondary-title&gt;Journal of pediatric surgery&lt;/secondary-title&gt;&lt;/titles&gt;&lt;periodical&gt;&lt;full-title&gt;Journal of pediatric surgery&lt;/full-title&gt;&lt;/periodical&gt;&lt;pages&gt;872-875&lt;/pages&gt;&lt;volume&gt;15&lt;/volume&gt;&lt;number&gt;6&lt;/number&gt;&lt;dates&gt;&lt;year&gt;1980&lt;/year&gt;&lt;/dates&gt;&lt;isbn&gt;0022-3468&lt;/isbn&gt;&lt;urls&gt;&lt;/urls&gt;&lt;/record&gt;&lt;/Cite&gt;&lt;/EndNote&gt;</w:instrText>
      </w:r>
      <w:r>
        <w:rPr>
          <w:rFonts w:asciiTheme="majorBidi" w:eastAsia="Times New Roman" w:hAnsiTheme="majorBidi" w:cstheme="majorBidi"/>
          <w:kern w:val="36"/>
          <w:sz w:val="24"/>
          <w:szCs w:val="24"/>
        </w:rPr>
        <w:fldChar w:fldCharType="separate"/>
      </w:r>
      <w:r w:rsidR="009F1ADC">
        <w:rPr>
          <w:rFonts w:asciiTheme="majorBidi" w:eastAsia="Times New Roman" w:hAnsiTheme="majorBidi" w:cstheme="majorBidi"/>
          <w:noProof/>
          <w:kern w:val="36"/>
          <w:sz w:val="24"/>
          <w:szCs w:val="24"/>
        </w:rPr>
        <w:t>(2,</w:t>
      </w:r>
      <w:r>
        <w:rPr>
          <w:rFonts w:asciiTheme="majorBidi" w:eastAsia="Times New Roman" w:hAnsiTheme="majorBidi" w:cstheme="majorBidi"/>
          <w:noProof/>
          <w:kern w:val="36"/>
          <w:sz w:val="24"/>
          <w:szCs w:val="24"/>
        </w:rPr>
        <w:t>3)</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This method has been accepted as a method of choice for nutritional therapy, because of its few complications compared with more invasive ones such as surgery. It also has a higher nutritional efficacy and fewer complications compared with nasogastric (NG) tube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&lt;EndNote&gt;&lt;Cite&gt;&lt;Author&gt;Tabrizi&lt;/Author&gt;&lt;Year&gt;2016&lt;/Year&gt;&lt;RecNum&gt;4&lt;/RecNum&gt;&lt;DisplayText&gt;(4)&lt;/DisplayText&gt;&lt;record&gt;&lt;rec-number&gt;4&lt;/rec-number&gt;&lt;foreign-keys&gt;&lt;key app="EN" db-id="2a5vttsxzf9a2qe9vfk50zfq9txpxe9av9rx" timestamp="1486398429"&gt;4&lt;/key&gt;&lt;/foreign-keys&gt;&lt;ref-type name="Journal Article"&gt;17&lt;/ref-type&gt;&lt;contributors&gt;&lt;authors&gt;&lt;author&gt;Tabrizi, Reza&lt;/author&gt;&lt;author&gt;Hosseinpour, Sepanta&lt;/author&gt;&lt;author&gt;Taghizadeh, Fateme&lt;/author&gt;&lt;/authors&gt;&lt;/contributors&gt;&lt;titles&gt;&lt;title&gt;Feeding in Oral Cancer Patients After Massive Ablative Surgery: Percutaneous Endoscopic Gastrostomy or Nasogastric Tube&lt;/title&gt;&lt;secondary-title&gt;Journal of Craniofacial Surgery&lt;/secondary-title&gt;&lt;/titles&gt;&lt;periodical&gt;&lt;full-title&gt;Journal of Craniofacial Surgery&lt;/full-title&gt;&lt;/periodical&gt;&lt;pages&gt;1010-1011&lt;/pages&gt;&lt;volume&gt;27&lt;/volume&gt;&lt;number&gt;4&lt;/number&gt;&lt;dates&gt;&lt;year&gt;2016&lt;/year&gt;&lt;/dates&gt;&lt;isbn&gt;1049-2275&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(4)</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No need for general anesthesia, less instrumentation, reduced hospital stay, and lower health care costs, made it a safe and widely used method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&lt;EndNote&gt;&lt;Cite&gt;&lt;Author&gt;Belsha&lt;/Author&gt;&lt;Year&gt;2016&lt;/Year&gt;&lt;RecNum&gt;5&lt;/RecNum&gt;&lt;DisplayText&gt;(5)&lt;/DisplayText&gt;&lt;record&gt;&lt;rec-number&gt;5&lt;/rec-number&gt;&lt;foreign-keys&gt;&lt;key app="EN" db-id="2a5vttsxzf9a2qe9vfk50zfq9txpxe9av9rx" timestamp="1486398461"&gt;5&lt;/key&gt;&lt;/foreign-keys&gt;&lt;ref-type name="Journal Article"&gt;17&lt;/ref-type&gt;&lt;contributors&gt;&lt;authors&gt;&lt;author&gt;Belsha, Dalis&lt;/author&gt;&lt;author&gt;Thomson, Mike&lt;/author&gt;&lt;author&gt;Dass, Dipankar R&lt;/author&gt;&lt;author&gt;Lindley, Richard&lt;/author&gt;&lt;author&gt;Marven, Sean&lt;/author&gt;&lt;/authors&gt;&lt;/contributors&gt;&lt;titles&gt;&lt;title&gt;Assessment of the safety and efficacy of percutaneous laparoscopic endoscopic jejunostomy (PLEJ)&lt;/title&gt;&lt;secondary-title&gt;Journal of pediatric surgery&lt;/secondary-title&gt;&lt;/titles&gt;&lt;periodical&gt;&lt;full-title&gt;Journal of pediatric surgery&lt;/full-title&gt;&lt;/periodical&gt;&lt;pages&gt;513-518&lt;/pages&gt;&lt;volume&gt;51&lt;/volume&gt;&lt;number&gt;3&lt;/number&gt;&lt;dates&gt;&lt;year&gt;2016&lt;/year&gt;&lt;/dates&gt;&lt;isbn&gt;0022-3468&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(5)</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w:t>
      </w:r>
    </w:p>
    <w:p w:rsidR="002722C8" w:rsidRDefault="002722C8" w:rsidP="002722C8">
      <w:pPr>
        <w:autoSpaceDE w:val="0"/>
        <w:autoSpaceDN w:val="0"/>
        <w:adjustRightInd w:val="0"/>
        <w:spacing w:after="0" w:line="480" w:lineRule="auto"/>
        <w:ind w:firstLine="720"/>
        <w:jc w:val="both"/>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lastRenderedPageBreak/>
        <w:t xml:space="preserve">The most common indication for using PEG is neurological impairment. Neurological dysphagia that usually occurs after stroke, by interfering with ingestion, has the highest share in the use of this feeding technique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&lt;EndNote&gt;&lt;Cite&gt;&lt;Author&gt;Abu&lt;/Author&gt;&lt;Year&gt;2016&lt;/Year&gt;&lt;RecNum&gt;6&lt;/RecNum&gt;&lt;DisplayText&gt;(6)&lt;/DisplayText&gt;&lt;record&gt;&lt;rec-number&gt;6&lt;/rec-number&gt;&lt;foreign-keys&gt;&lt;key app="EN" db-id="2a5vttsxzf9a2qe9vfk50zfq9txpxe9av9rx" timestamp="1486398499"&gt;6&lt;/key&gt;&lt;/foreign-keys&gt;&lt;ref-type name="Journal Article"&gt;17&lt;/ref-type&gt;&lt;contributors&gt;&lt;authors&gt;&lt;author&gt;Abu, RA&lt;/author&gt;&lt;author&gt;Khoury, T&lt;/author&gt;&lt;author&gt;Cohen, J&lt;/author&gt;&lt;author&gt;Chen, S&lt;/author&gt;&lt;author&gt;Yaari, S&lt;/author&gt;&lt;author&gt;Daher, S&lt;/author&gt;&lt;author&gt;Benson, AA&lt;/author&gt;&lt;author&gt;Mizrahi, M&lt;/author&gt;&lt;/authors&gt;&lt;/contributors&gt;&lt;titles&gt;&lt;title&gt;PEG Insertion in Patients With Dementia Does Not Improve Nutritional Status and Has Worse Outcomes as Compared With PEG Insertion for Other Indications&lt;/title&gt;&lt;secondary-title&gt;Journal of clinical gastroenterology&lt;/secondary-title&gt;&lt;/titles&gt;&lt;periodical&gt;&lt;full-title&gt;Journal of clinical gastroenterology&lt;/full-title&gt;&lt;/periodical&gt;&lt;dates&gt;&lt;year&gt;2016&lt;/year&gt;&lt;/dates&gt;&lt;isbn&gt;1539-2031&lt;/isbn&gt;&lt;urls&gt;&lt;/urls&gt;&lt;/record&gt;&lt;/Cite&gt;&lt;/EndNote&gt;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(6)</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Other indications include: mechanical pharyngeal and esophageal obstruction followed by tumors, lymph node invasion, and thyroid medullary cancers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&lt;EndNote&gt;&lt;Cite&gt;&lt;Author&gt;Friginal-Ruiz&lt;/Author&gt;&lt;Year&gt;2015&lt;/Year&gt;&lt;RecNum&gt;7&lt;/RecNum&gt;&lt;DisplayText&gt;(7, 8)&lt;/DisplayText&gt;&lt;record&gt;&lt;rec-number&gt;7&lt;/rec-number&gt;&lt;foreign-keys&gt;&lt;key app="EN" db-id="2a5vttsxzf9a2qe9vfk50zfq9txpxe9av9rx" timestamp="1486398528"&gt;7&lt;/key&gt;&lt;/foreign-keys&gt;&lt;ref-type name="Journal Article"&gt;17&lt;/ref-type&gt;&lt;contributors&gt;&lt;authors&gt;&lt;author&gt;Friginal-Ruiz, Ana Belén&lt;/author&gt;&lt;author&gt;Lucendo, Alfredo J&lt;/author&gt;&lt;/authors&gt;&lt;/contributors&gt;&lt;titles&gt;&lt;title&gt;Percutaneous endoscopic gastrostomy: a practical overview on its indications, placement conditions, management, and nursing care&lt;/title&gt;&lt;secondary-title&gt;Gastroenterology Nursing&lt;/secondary-title&gt;&lt;/titles&gt;&lt;periodical&gt;&lt;full-title&gt;Gastroenterology Nursing&lt;/full-title&gt;&lt;/periodical&gt;&lt;pages&gt;354-366&lt;/pages&gt;&lt;volume&gt;38&lt;/volume&gt;&lt;number&gt;5&lt;/number&gt;&lt;dates&gt;&lt;year&gt;2015&lt;/year&gt;&lt;/dates&gt;&lt;isbn&gt;1042-895X&lt;/isbn&gt;&lt;urls&gt;&lt;/urls&gt;&lt;/record&gt;&lt;/Cite&gt;&lt;Cite&gt;&lt;Author&gt;Moran&lt;/Author&gt;&lt;Year&gt;2015&lt;/Year&gt;&lt;RecNum&gt;8&lt;/RecNum&gt;&lt;record&gt;&lt;rec-number&gt;8&lt;/rec-number&gt;&lt;foreign-keys&gt;&lt;key app="EN" db-id="2a5vttsxzf9a2qe9vfk50zfq9txpxe9av9rx" timestamp="1486398539"&gt;8&lt;/key&gt;&lt;/foreign-keys&gt;&lt;ref-type name="Journal Article"&gt;17&lt;/ref-type&gt;&lt;contributors&gt;&lt;authors&gt;&lt;author&gt;Moran, Carthage&lt;/author&gt;&lt;author&gt;O’Mahony, Seamus&lt;/author&gt;&lt;/authors&gt;&lt;/contributors&gt;&lt;titles&gt;&lt;title&gt;When is feeding via a percutaneous endoscopic gastrostomy indicated?&lt;/title&gt;&lt;secondary-title&gt;Current opinion in gastroenterology&lt;/secondary-title&gt;&lt;/titles&gt;&lt;periodical&gt;&lt;full-title&gt;Current opinion in gastroenterology&lt;/full-title&gt;&lt;/periodical&gt;&lt;pages&gt;137-142&lt;/pages&gt;&lt;volume&gt;31&lt;/volume&gt;&lt;number&gt;2&lt;/number&gt;&lt;dates&gt;&lt;year&gt;2015&lt;/year&gt;&lt;/dates&gt;&lt;isbn&gt;0267-1379&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(7</w:t>
      </w:r>
      <w:r w:rsidR="009F1ADC">
        <w:rPr>
          <w:rFonts w:asciiTheme="majorBidi" w:eastAsia="Times New Roman" w:hAnsiTheme="majorBidi" w:cstheme="majorBidi"/>
          <w:noProof/>
          <w:kern w:val="36"/>
          <w:sz w:val="24"/>
          <w:szCs w:val="24"/>
        </w:rPr>
        <w:t>,</w:t>
      </w:r>
      <w:r>
        <w:rPr>
          <w:rFonts w:asciiTheme="majorBidi" w:eastAsia="Times New Roman" w:hAnsiTheme="majorBidi" w:cstheme="majorBidi"/>
          <w:noProof/>
          <w:kern w:val="36"/>
          <w:sz w:val="24"/>
          <w:szCs w:val="24"/>
        </w:rPr>
        <w:t>8)</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Contraindications for this method include: critically ill patients, low life expectancy, severe cough, uncorrectable coagulopathy, distal enteral obstruction, recent myocardial infarction, portal hypertension with gastric </w:t>
      </w:r>
      <w:proofErr w:type="spellStart"/>
      <w:r>
        <w:rPr>
          <w:rFonts w:asciiTheme="majorBidi" w:eastAsia="Times New Roman" w:hAnsiTheme="majorBidi" w:cstheme="majorBidi"/>
          <w:kern w:val="36"/>
          <w:sz w:val="24"/>
          <w:szCs w:val="24"/>
        </w:rPr>
        <w:t>varices</w:t>
      </w:r>
      <w:proofErr w:type="spellEnd"/>
      <w:r>
        <w:rPr>
          <w:rFonts w:asciiTheme="majorBidi" w:eastAsia="Times New Roman" w:hAnsiTheme="majorBidi" w:cstheme="majorBidi"/>
          <w:kern w:val="36"/>
          <w:sz w:val="24"/>
          <w:szCs w:val="24"/>
        </w:rPr>
        <w:t xml:space="preserve">, sepsis, ventral hernia, esophageal or pharyngeal obstruction, esophageal or </w:t>
      </w:r>
      <w:proofErr w:type="spellStart"/>
      <w:r>
        <w:rPr>
          <w:rFonts w:asciiTheme="majorBidi" w:eastAsia="Times New Roman" w:hAnsiTheme="majorBidi" w:cstheme="majorBidi"/>
          <w:kern w:val="36"/>
          <w:sz w:val="24"/>
          <w:szCs w:val="24"/>
        </w:rPr>
        <w:t>oropharyngeal</w:t>
      </w:r>
      <w:proofErr w:type="spellEnd"/>
      <w:r>
        <w:rPr>
          <w:rFonts w:asciiTheme="majorBidi" w:eastAsia="Times New Roman" w:hAnsiTheme="majorBidi" w:cstheme="majorBidi"/>
          <w:kern w:val="36"/>
          <w:sz w:val="24"/>
          <w:szCs w:val="24"/>
        </w:rPr>
        <w:t xml:space="preserve"> cancer (due to the potential seeding of the PEG tube with cancer cells), prior abdominal surgery, open abdominal wounds, </w:t>
      </w:r>
      <w:proofErr w:type="spellStart"/>
      <w:r>
        <w:rPr>
          <w:rFonts w:asciiTheme="majorBidi" w:eastAsia="Times New Roman" w:hAnsiTheme="majorBidi" w:cstheme="majorBidi"/>
          <w:kern w:val="36"/>
          <w:sz w:val="24"/>
          <w:szCs w:val="24"/>
        </w:rPr>
        <w:t>gastroesophageal</w:t>
      </w:r>
      <w:proofErr w:type="spellEnd"/>
      <w:r>
        <w:rPr>
          <w:rFonts w:asciiTheme="majorBidi" w:eastAsia="Times New Roman" w:hAnsiTheme="majorBidi" w:cstheme="majorBidi"/>
          <w:kern w:val="36"/>
          <w:sz w:val="24"/>
          <w:szCs w:val="24"/>
        </w:rPr>
        <w:t xml:space="preserve"> reflux disease (GERD), abdominal wall abnormalities, abdominal wall metastases, intra-abdominal </w:t>
      </w:r>
      <w:proofErr w:type="spellStart"/>
      <w:r>
        <w:rPr>
          <w:rFonts w:asciiTheme="majorBidi" w:eastAsia="Times New Roman" w:hAnsiTheme="majorBidi" w:cstheme="majorBidi"/>
          <w:kern w:val="36"/>
          <w:sz w:val="24"/>
          <w:szCs w:val="24"/>
        </w:rPr>
        <w:t>organomegaly</w:t>
      </w:r>
      <w:proofErr w:type="spellEnd"/>
      <w:r>
        <w:rPr>
          <w:rFonts w:asciiTheme="majorBidi" w:eastAsia="Times New Roman" w:hAnsiTheme="majorBidi" w:cstheme="majorBidi"/>
          <w:kern w:val="36"/>
          <w:sz w:val="24"/>
          <w:szCs w:val="24"/>
        </w:rPr>
        <w:t xml:space="preserve"> like splenomegaly and hepatomegaly, and severe ascites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&lt;EndNote&gt;&lt;Cite&gt;&lt;Author&gt;Schrag&lt;/Author&gt;&lt;Year&gt;2007&lt;/Year&gt;&lt;RecNum&gt;9&lt;/RecNum&gt;&lt;DisplayText&gt;(9)&lt;/DisplayText&gt;&lt;record&gt;&lt;rec-number&gt;9&lt;/rec-number&gt;&lt;foreign-keys&gt;&lt;key app="EN" db-id="2a5vttsxzf9a2qe9vfk50zfq9txpxe9av9rx" timestamp="1486398589"&gt;9&lt;/key&gt;&lt;/foreign-keys&gt;&lt;ref-type name="Journal Article"&gt;17&lt;/ref-type&gt;&lt;contributors&gt;&lt;authors&gt;&lt;author&gt;Schrag, Sherwin P&lt;/author&gt;&lt;author&gt;Sharma, Rohit&lt;/author&gt;&lt;author&gt;Jaik, Nikhil P&lt;/author&gt;&lt;author&gt;Seamon, Mark J&lt;/author&gt;&lt;author&gt;Lukaszczyk, John J&lt;/author&gt;&lt;author&gt;Martin, Niels D&lt;/author&gt;&lt;author&gt;Hoey, Brian A&lt;/author&gt;&lt;author&gt;Stawicki, S Peter&lt;/author&gt;&lt;/authors&gt;&lt;/contributors&gt;&lt;titles&gt;&lt;title&gt;Complications related to percutaneous endoscopic gastrostomy (PEG) tubes. A comprehensive clinical review&lt;/title&gt;&lt;secondary-title&gt;Journal of Gastrointestinal and Liver Diseases&lt;/secondary-title&gt;&lt;/titles&gt;&lt;periodical&gt;&lt;full-title&gt;Journal of Gastrointestinal and Liver Diseases&lt;/full-title&gt;&lt;/periodical&gt;&lt;pages&gt;407&lt;/pages&gt;&lt;volume&gt;16&lt;/volume&gt;&lt;number&gt;4&lt;/number&gt;&lt;dates&gt;&lt;year&gt;2007&lt;/year&gt;&lt;/dates&gt;&lt;isbn&gt;1841-8724&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(9)</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w:t>
      </w:r>
    </w:p>
    <w:p w:rsidR="002722C8" w:rsidRDefault="002722C8" w:rsidP="009F1ADC">
      <w:pPr>
        <w:spacing w:after="0" w:line="480" w:lineRule="auto"/>
        <w:ind w:firstLine="72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Long-term survival of patients in a persistent vegetable state has significantly improved by PEG tube insertion. Pulmonary infection has also decreased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&lt;EndNote&gt;&lt;Cite&gt;&lt;Author&gt;Wu&lt;/Author&gt;&lt;Year&gt;2016&lt;/Year&gt;&lt;RecNum&gt;10&lt;/RecNum&gt;&lt;DisplayText&gt;(10)&lt;/DisplayText&gt;&lt;record&gt;&lt;rec-number&gt;10&lt;/rec-number&gt;&lt;foreign-keys&gt;&lt;key app="EN" db-id="2a5vttsxzf9a2qe9vfk50zfq9txpxe9av9rx" timestamp="1486398622"&gt;10&lt;/key&gt;&lt;/foreign-keys&gt;&lt;ref-type name="Journal Article"&gt;17&lt;/ref-type&gt;&lt;contributors&gt;&lt;authors&gt;&lt;author&gt;Wu, Kunpeng&lt;/author&gt;&lt;author&gt;Chen, Ying&lt;/author&gt;&lt;author&gt;Yan, Caihong&lt;/author&gt;&lt;author&gt;Huang, Zhijia&lt;/author&gt;&lt;author&gt;Wang, Deming&lt;/author&gt;&lt;author&gt;Gui, Peigen&lt;/author&gt;&lt;author&gt;Bao, Juan&lt;/author&gt;&lt;/authors&gt;&lt;/contributors&gt;&lt;titles&gt;&lt;title&gt;Effects of percutaneous endoscopic gastrostomy on survival of patients in a persistent vegetative state after stroke&lt;/title&gt;&lt;secondary-title&gt;Journal of Clinical Nursing&lt;/secondary-title&gt;&lt;/titles&gt;&lt;periodical&gt;&lt;full-title&gt;Journal of Clinical Nursing&lt;/full-title&gt;&lt;/periodical&gt;&lt;dates&gt;&lt;year&gt;2016&lt;/year&gt;&lt;/dates&gt;&lt;isbn&gt;1365-2702&lt;/isbn&gt;&lt;urls&gt;&lt;/urls&gt;&lt;/record&gt;&lt;/Cite&gt;&lt;/EndNote&gt;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(10)</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Treatment tolerance in patients undergoing </w:t>
      </w:r>
      <w:proofErr w:type="spellStart"/>
      <w:r>
        <w:rPr>
          <w:rFonts w:asciiTheme="majorBidi" w:eastAsia="Times New Roman" w:hAnsiTheme="majorBidi" w:cstheme="majorBidi"/>
          <w:kern w:val="36"/>
          <w:sz w:val="24"/>
          <w:szCs w:val="24"/>
        </w:rPr>
        <w:t>chemoradiotherapy</w:t>
      </w:r>
      <w:proofErr w:type="spellEnd"/>
      <w:r>
        <w:rPr>
          <w:rFonts w:asciiTheme="majorBidi" w:eastAsia="Times New Roman" w:hAnsiTheme="majorBidi" w:cstheme="majorBidi"/>
          <w:kern w:val="36"/>
          <w:sz w:val="24"/>
          <w:szCs w:val="24"/>
        </w:rPr>
        <w:t xml:space="preserve"> for laryngeal carcinoma has increased with PEG tube and weight loss has been minimized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&lt;EndNote&gt;&lt;Cite&gt;&lt;Author&gt;Xu&lt;/Author&gt;&lt;Year&gt;2016&lt;/Year&gt;&lt;RecNum&gt;11&lt;/RecNum&gt;&lt;DisplayText&gt;(11)&lt;/DisplayText&gt;&lt;record&gt;&lt;rec-number&gt;11&lt;/rec-number&gt;&lt;foreign-keys&gt;&lt;key app="EN" db-id="2a5vttsxzf9a2qe9vfk50zfq9txpxe9av9rx" timestamp="1486398649"&gt;11&lt;/key&gt;&lt;/foreign-keys&gt;&lt;ref-type name="Journal Article"&gt;17&lt;/ref-type&gt;&lt;contributors&gt;&lt;authors&gt;&lt;author&gt;Xu, Yun&lt;/author&gt;&lt;author&gt;Guo, Qiaojuan&lt;/author&gt;&lt;author&gt;Lin, Jin&lt;/author&gt;&lt;author&gt;Chen, Bijuan&lt;/author&gt;&lt;author&gt;Wen, Jiangmei&lt;/author&gt;&lt;author&gt;Lu, Tianzhu&lt;/author&gt;&lt;author&gt;Xu, Yuanji&lt;/author&gt;&lt;author&gt;Zhang, Mingwei&lt;/author&gt;&lt;author&gt;Pan, Jianji&lt;/author&gt;&lt;author&gt;Lin, Shaojun&lt;/author&gt;&lt;/authors&gt;&lt;/contributors&gt;&lt;titles&gt;&lt;title&gt;Benefit of percutaneous endoscopic gastrostomy in patients undergoing definitive chemoradiotherapy for locally advanced nasopharyngeal carcinoma&lt;/title&gt;&lt;secondary-title&gt;OncoTargets and therapy&lt;/secondary-title&gt;&lt;/titles&gt;&lt;periodical&gt;&lt;full-title&gt;OncoTargets and therapy&lt;/full-title&gt;&lt;/periodical&gt;&lt;pages&gt;6835&lt;/pages&gt;&lt;volume&gt;9&lt;/volume&gt;&lt;dates&gt;&lt;year&gt;2016&lt;/year&gt;&lt;/dates&gt;&lt;urls&gt;&lt;/urls&gt;&lt;/record&gt;&lt;/Cite&gt;&lt;/EndNote&gt;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(11)</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PEG tube can improve nutritional status in patients with various diseases such as neurodegenerative diseases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&lt;EndNote&gt;&lt;Cite&gt;&lt;Author&gt;Sarkar&lt;/Author&gt;&lt;Year&gt;2016&lt;/Year&gt;&lt;RecNum&gt;12&lt;/RecNum&gt;&lt;DisplayText&gt;(12)&lt;/DisplayText&gt;&lt;record&gt;&lt;rec-number&gt;12&lt;/rec-number&gt;&lt;foreign-keys&gt;&lt;key app="EN" db-id="2a5vttsxzf9a2qe9vfk50zfq9txpxe9av9rx" timestamp="1486398704"&gt;12&lt;/key&gt;&lt;/foreign-keys&gt;&lt;ref-type name="Journal Article"&gt;17&lt;/ref-type&gt;&lt;contributors&gt;&lt;authors&gt;&lt;author&gt;Sarkar, P&lt;/author&gt;&lt;author&gt;Cole, A&lt;/author&gt;&lt;author&gt;Scolding, NJ&lt;/author&gt;&lt;author&gt;Rice, CM&lt;/author&gt;&lt;/authors&gt;&lt;/contributors&gt;&lt;titles&gt;&lt;title&gt;Percutaneous Endoscopic Gastrostomy Tube Insertion in Neurodegenerative Disease: A Retrospective Study and Literature Review&lt;/title&gt;&lt;secondary-title&gt;Clinical endoscopy&lt;/secondary-title&gt;&lt;/titles&gt;&lt;periodical&gt;&lt;full-title&gt;Clinical endoscopy&lt;/full-title&gt;&lt;/periodical&gt;&lt;dates&gt;&lt;year&gt;2016&lt;/year&gt;&lt;/dates&gt;&lt;isbn&gt;2234-2400&lt;/isbn&gt;&lt;urls&gt;&lt;/urls&gt;&lt;/record&gt;&lt;/Cite&gt;&lt;/EndNote&gt;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(12)</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dementia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&lt;EndNote&gt;&lt;Cite&gt;&lt;Author&gt;Nunes&lt;/Author&gt;&lt;Year&gt;2016&lt;/Year&gt;&lt;RecNum&gt;13&lt;/RecNum&gt;&lt;DisplayText&gt;(13)&lt;/DisplayText&gt;&lt;record&gt;&lt;rec-number&gt;13&lt;/rec-number&gt;&lt;foreign-keys&gt;&lt;key app="EN" db-id="2a5vttsxzf9a2qe9vfk50zfq9txpxe9av9rx" timestamp="1486398733"&gt;13&lt;/key&gt;&lt;/foreign-keys&gt;&lt;ref-type name="Journal Article"&gt;17&lt;/ref-type&gt;&lt;contributors&gt;&lt;authors&gt;&lt;author&gt;Nunes, Gonçalo&lt;/author&gt;&lt;author&gt;Santos, Carla Adriana&lt;/author&gt;&lt;author&gt;Santos, Carla&lt;/author&gt;&lt;author&gt;Fonseca, Jorge&lt;/author&gt;&lt;/authors&gt;&lt;/contributors&gt;&lt;titles&gt;&lt;title&gt;Percutaneous endoscopic gastrostomy for nutritional support in dementia patients&lt;/title&gt;&lt;secondary-title&gt;Aging Clinical and Experimental Research&lt;/secondary-title&gt;&lt;/titles&gt;&lt;periodical&gt;&lt;full-title&gt;Aging Clinical and Experimental Research&lt;/full-title&gt;&lt;/periodical&gt;&lt;pages&gt;983-989&lt;/pages&gt;&lt;volume&gt;28&lt;/volume&gt;&lt;number&gt;5&lt;/number&gt;&lt;dates&gt;&lt;year&gt;2016&lt;/year&gt;&lt;/dates&gt;&lt;isbn&gt;1720-8319&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(13)</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esophageal cancer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&lt;EndNote&gt;&lt;Cite&gt;&lt;Author&gt;Sofue&lt;/Author&gt;&lt;Year&gt;2016&lt;/Year&gt;&lt;RecNum&gt;14&lt;/RecNum&gt;&lt;DisplayText&gt;(14)&lt;/DisplayText&gt;&lt;record&gt;&lt;rec-number&gt;14&lt;/rec-number&gt;&lt;foreign-keys&gt;&lt;key app="EN" db-id="2a5vttsxzf9a2qe9vfk50zfq9txpxe9av9rx" timestamp="1486398765"&gt;14&lt;/key&gt;&lt;/foreign-keys&gt;&lt;ref-type name="Journal Article"&gt;17&lt;/ref-type&gt;&lt;contributors&gt;&lt;authors&gt;&lt;author&gt;Sofue, Keitaro&lt;/author&gt;&lt;author&gt;Takeuchi, Yoshito&lt;/author&gt;&lt;author&gt;Tsurusaki, Masakatsu&lt;/author&gt;&lt;author&gt;Shibamoto, Kentaro&lt;/author&gt;&lt;author&gt;Sakamoto, Noriaki&lt;/author&gt;&lt;author&gt;Kitajima, Kazuhiro&lt;/author&gt;&lt;author&gt;Sone, Miyuki&lt;/author&gt;&lt;author&gt;Sugimura, Kazuro&lt;/author&gt;&lt;author&gt;Arai, Yasuaki&lt;/author&gt;&lt;/authors&gt;&lt;/contributors&gt;&lt;titles&gt;&lt;title&gt;Value of Percutaneous Radiologic Gastrostomy for Patients with Advanced Esophageal Cancer&lt;/title&gt;&lt;secondary-title&gt;Annals of surgical oncology&lt;/secondary-title&gt;&lt;/titles&gt;&lt;periodical&gt;&lt;full-title&gt;Annals of surgical oncology&lt;/full-title&gt;&lt;/periodical&gt;&lt;pages&gt;3623-3631&lt;/pages&gt;&lt;volume&gt;23&lt;/volume&gt;&lt;number&gt;11&lt;/number&gt;&lt;dates&gt;&lt;year&gt;2016&lt;/year&gt;&lt;/dates&gt;&lt;isbn&gt;1068-9265&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(14)</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amyotrophic lateral sclerosis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&lt;EndNote&gt;&lt;Cite&gt;&lt;Author&gt;Benstead&lt;/Author&gt;&lt;Year&gt;2016&lt;/Year&gt;&lt;RecNum&gt;15&lt;/RecNum&gt;&lt;DisplayText&gt;(15)&lt;/DisplayText&gt;&lt;record&gt;&lt;rec-number&gt;15&lt;/rec-number&gt;&lt;foreign-keys&gt;&lt;key app="EN" db-id="2a5vttsxzf9a2qe9vfk50zfq9txpxe9av9rx" timestamp="1486398790"&gt;15&lt;/key&gt;&lt;/foreign-keys&gt;&lt;ref-type name="Journal Article"&gt;17&lt;/ref-type&gt;&lt;contributors&gt;&lt;authors&gt;&lt;author&gt;Benstead, Timothy&lt;/author&gt;&lt;author&gt;Jackson-Tarlton, Caitlin&lt;/author&gt;&lt;author&gt;Leddin, Desmond&lt;/author&gt;&lt;/authors&gt;&lt;/contributors&gt;&lt;titles&gt;&lt;title&gt;Nutrition with Gastrostomy Feeding Tubes for Amyotrophic Lateral Sclerosis in Canada&lt;/title&gt;&lt;secondary-title&gt;Canadian Journal of Neurological Sciences/Journal Canadien des Sciences Neurologiques&lt;/secondary-title&gt;&lt;/titles&gt;&lt;periodical&gt;&lt;full-title&gt;Canadian Journal of Neurological Sciences/Journal Canadien des Sciences Neurologiques&lt;/full-title&gt;&lt;/periodical&gt;&lt;pages&gt;1-5&lt;/pages&gt;&lt;dates&gt;&lt;year&gt;2016&lt;/year&gt;&lt;/dates&gt;&lt;isbn&gt;2057-0155&lt;/isbn&gt;&lt;urls&gt;&lt;/urls&gt;&lt;/record&gt;&lt;/Cite&gt;&lt;/EndNote&gt;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(15)</w:t>
      </w:r>
      <w:r>
        <w:rPr>
          <w:rFonts w:asciiTheme="majorBidi" w:eastAsia="Times New Roman" w:hAnsiTheme="majorBidi" w:cstheme="majorBidi"/>
          <w:kern w:val="36"/>
          <w:sz w:val="24"/>
          <w:szCs w:val="24"/>
        </w:rPr>
        <w:fldChar w:fldCharType="end"/>
      </w:r>
      <w:r w:rsidR="009F1ADC">
        <w:rPr>
          <w:rFonts w:asciiTheme="majorBidi" w:eastAsia="Times New Roman" w:hAnsiTheme="majorBidi" w:cstheme="majorBidi"/>
          <w:kern w:val="36"/>
          <w:sz w:val="24"/>
          <w:szCs w:val="24"/>
        </w:rPr>
        <w:t>,</w:t>
      </w:r>
      <w:r>
        <w:rPr>
          <w:rFonts w:asciiTheme="majorBidi" w:eastAsia="Times New Roman" w:hAnsiTheme="majorBidi" w:cstheme="majorBidi"/>
          <w:kern w:val="36"/>
          <w:sz w:val="24"/>
          <w:szCs w:val="24"/>
        </w:rPr>
        <w:t xml:space="preserve"> and bullous </w:t>
      </w:r>
      <w:proofErr w:type="spellStart"/>
      <w:r>
        <w:rPr>
          <w:rFonts w:asciiTheme="majorBidi" w:eastAsia="Times New Roman" w:hAnsiTheme="majorBidi" w:cstheme="majorBidi"/>
          <w:kern w:val="36"/>
          <w:sz w:val="24"/>
          <w:szCs w:val="24"/>
        </w:rPr>
        <w:t>pemphigoid</w:t>
      </w:r>
      <w:proofErr w:type="spellEnd"/>
      <w:r>
        <w:rPr>
          <w:rFonts w:asciiTheme="majorBidi" w:eastAsia="Times New Roman" w:hAnsiTheme="majorBidi" w:cstheme="majorBidi"/>
          <w:kern w:val="36"/>
          <w:sz w:val="24"/>
          <w:szCs w:val="24"/>
        </w:rPr>
        <w:t xml:space="preserve">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&lt;EndNote&gt;&lt;Cite&gt;&lt;Author&gt;Nozu&lt;/Author&gt;&lt;Year&gt;2016&lt;/Year&gt;&lt;RecNum&gt;16&lt;/RecNum&gt;&lt;DisplayText&gt;(16)&lt;/DisplayText&gt;&lt;record&gt;&lt;rec-number&gt;16&lt;/rec-number&gt;&lt;foreign-keys&gt;&lt;key app="EN" db-id="2a5vttsxzf9a2qe9vfk50zfq9txpxe9av9rx" timestamp="1486398819"&gt;16&lt;/key&gt;&lt;/foreign-keys&gt;&lt;ref-type name="Journal Article"&gt;17&lt;/ref-type&gt;&lt;contributors&gt;&lt;authors&gt;&lt;author&gt;Nozu, Tsukasa&lt;/author&gt;&lt;author&gt;Okumura, Toshikatsu&lt;/author&gt;&lt;/authors&gt;&lt;/contributors&gt;&lt;titles&gt;&lt;title&gt;Bullous pemphigoid and percutaneous endoscopic gastrostomy&lt;/title&gt;&lt;secondary-title&gt;Geriatrics &amp;amp; Gerontology International&lt;/secondary-title&gt;&lt;/titles&gt;&lt;periodical&gt;&lt;full-title&gt;Geriatrics &amp;amp; Gerontology International&lt;/full-title&gt;&lt;/periodical&gt;&lt;pages&gt;1173-1174&lt;/pages&gt;&lt;volume&gt;16&lt;/volume&gt;&lt;number&gt;10&lt;/number&gt;&lt;dates&gt;&lt;year&gt;2016&lt;/year&gt;&lt;/dates&gt;&lt;isbn&gt;1447-0594&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(16)</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w:t>
      </w:r>
    </w:p>
    <w:p w:rsidR="002722C8" w:rsidRDefault="002722C8" w:rsidP="002722C8">
      <w:pPr>
        <w:spacing w:after="0" w:line="480" w:lineRule="auto"/>
        <w:ind w:firstLine="72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Main complications of this method are classified into two categories: major and minor. Minor complications include: wound infection, tube leakage, stoma leakage, tube dislodgement, and tube blockage. Major complications include: gastric bleeding, gastric perforation, aspiration, and buried bumper syndrome. Other complications can be peritonitis, </w:t>
      </w:r>
      <w:proofErr w:type="spellStart"/>
      <w:r>
        <w:rPr>
          <w:rFonts w:asciiTheme="majorBidi" w:eastAsia="Times New Roman" w:hAnsiTheme="majorBidi" w:cstheme="majorBidi"/>
          <w:kern w:val="36"/>
          <w:sz w:val="24"/>
          <w:szCs w:val="24"/>
        </w:rPr>
        <w:t>gastrocolic</w:t>
      </w:r>
      <w:proofErr w:type="spellEnd"/>
      <w:r>
        <w:rPr>
          <w:rFonts w:asciiTheme="majorBidi" w:eastAsia="Times New Roman" w:hAnsiTheme="majorBidi" w:cstheme="majorBidi"/>
          <w:kern w:val="36"/>
          <w:sz w:val="24"/>
          <w:szCs w:val="24"/>
        </w:rPr>
        <w:t xml:space="preserve"> fistula, subcutaneous abscess, food entry to the abdominal cavity, necrotizing fasciitis, and spreading gastric or esophageal tumor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&lt;EndNote&gt;&lt;Cite&gt;&lt;Author&gt;Hucl&lt;/Author&gt;&lt;Year&gt;2016&lt;/Year&gt;&lt;RecNum&gt;17&lt;/RecNum&gt;&lt;DisplayText&gt;(17, 18)&lt;/DisplayText&gt;&lt;record&gt;&lt;rec-number&gt;17&lt;/rec-number&gt;&lt;foreign-keys&gt;&lt;key app="EN" db-id="2a5vttsxzf9a2qe9vfk50zfq9txpxe9av9rx" timestamp="1486398853"&gt;17&lt;/key&gt;&lt;/foreign-keys&gt;&lt;ref-type name="Journal Article"&gt;17&lt;/ref-type&gt;&lt;contributors&gt;&lt;authors&gt;&lt;author&gt;Hucl, Tomas&lt;/author&gt;&lt;author&gt;Spicak, Julius&lt;/author&gt;&lt;/authors&gt;&lt;/contributors&gt;&lt;titles&gt;&lt;title&gt;Complications of percutaneous endoscopic gastrostomy&lt;/title&gt;&lt;secondary-title&gt;Best Practice &amp;amp; Research Clinical Gastroenterology&lt;/secondary-title&gt;&lt;/titles&gt;&lt;periodical&gt;&lt;full-title&gt;Best Practice &amp;amp; Research Clinical Gastroenterology&lt;/full-title&gt;&lt;/periodical&gt;&lt;pages&gt;769-781&lt;/pages&gt;&lt;volume&gt;30&lt;/volume&gt;&lt;number&gt;5&lt;/number&gt;&lt;dates&gt;&lt;year&gt;2016&lt;/year&gt;&lt;/dates&gt;&lt;isbn&gt;1521-6918&lt;/isbn&gt;&lt;urls&gt;&lt;/urls&gt;&lt;/record&gt;&lt;/Cite&gt;&lt;Cite&gt;&lt;Author&gt;Jafari&lt;/Author&gt;&lt;Year&gt;2016&lt;/Year&gt;&lt;RecNum&gt;18&lt;/RecNum&gt;&lt;record&gt;&lt;rec-number&gt;18&lt;/rec-number&gt;&lt;foreign-keys&gt;&lt;key app="EN" db-id="2a5vttsxzf9a2qe9vfk50zfq9txpxe9av9rx" timestamp="1486398863"&gt;18&lt;/key&gt;&lt;/foreign-keys&gt;&lt;ref-type name="Journal Article"&gt;17&lt;/ref-type&gt;&lt;contributors&gt;&lt;authors&gt;&lt;author&gt;Jafari, A&lt;/author&gt;&lt;author&gt;Weismüller, TJ&lt;/author&gt;&lt;author&gt;Tonguc, T&lt;/author&gt;&lt;author&gt;Kalff, JC&lt;/author&gt;&lt;author&gt;Manekeller, S&lt;/author&gt;&lt;/authors&gt;&lt;/contributors&gt;&lt;titles&gt;&lt;title&gt;Complications after Percutaneous Endoscopic Gastrostomy Tube Placement-A Retrospective Analysis&lt;/title&gt;&lt;secondary-title&gt;Zentralblatt fur Chirurgie&lt;/secondary-title&gt;&lt;/titles&gt;&lt;periodical&gt;&lt;full-title&gt;Zentralblatt fur Chirurgie&lt;/full-title&gt;&lt;/periodical&gt;&lt;pages&gt;442-445&lt;/pages&gt;&lt;volume&gt;141&lt;/volume&gt;&lt;number&gt;4&lt;/number&gt;&lt;dates&gt;&lt;year&gt;2016&lt;/year&gt;&lt;/dates&gt;&lt;isbn&gt;0044-409X&lt;/isbn&gt;&lt;urls&gt;&lt;/urls&gt;&lt;/record&gt;&lt;/Cite&gt;&lt;/EndNote&gt;</w:instrText>
      </w:r>
      <w:r>
        <w:rPr>
          <w:rFonts w:asciiTheme="majorBidi" w:eastAsia="Times New Roman" w:hAnsiTheme="majorBidi" w:cstheme="majorBidi"/>
          <w:kern w:val="36"/>
          <w:sz w:val="24"/>
          <w:szCs w:val="24"/>
        </w:rPr>
        <w:fldChar w:fldCharType="separate"/>
      </w:r>
      <w:r w:rsidR="009F1ADC">
        <w:rPr>
          <w:rFonts w:asciiTheme="majorBidi" w:eastAsia="Times New Roman" w:hAnsiTheme="majorBidi" w:cstheme="majorBidi"/>
          <w:noProof/>
          <w:kern w:val="36"/>
          <w:sz w:val="24"/>
          <w:szCs w:val="24"/>
        </w:rPr>
        <w:t>(17,</w:t>
      </w:r>
      <w:r>
        <w:rPr>
          <w:rFonts w:asciiTheme="majorBidi" w:eastAsia="Times New Roman" w:hAnsiTheme="majorBidi" w:cstheme="majorBidi"/>
          <w:noProof/>
          <w:kern w:val="36"/>
          <w:sz w:val="24"/>
          <w:szCs w:val="24"/>
        </w:rPr>
        <w:t>18)</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w:t>
      </w:r>
    </w:p>
    <w:p w:rsidR="002722C8" w:rsidRDefault="002722C8" w:rsidP="002722C8">
      <w:pPr>
        <w:spacing w:after="0" w:line="480" w:lineRule="auto"/>
        <w:ind w:firstLine="72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lastRenderedPageBreak/>
        <w:t>Currently, there is a growing trend for referrals to gastroenterology units for PEG tube placement. PEG tube placement is performed as outpatient in most centers. So it seems necessary to periodically evaluate this technique, and its complications and indications. In this study, we intended to evaluate the success of this method and identify the most common indications, various complications, and its one-year survival by investigating the patients who had referred to our gastroenterology unit for PEG tube placement.</w:t>
      </w:r>
    </w:p>
    <w:p w:rsidR="002722C8" w:rsidRPr="009F1ADC" w:rsidRDefault="009F1ADC" w:rsidP="002722C8">
      <w:pPr>
        <w:pStyle w:val="ListParagraph"/>
        <w:spacing w:after="0" w:line="480" w:lineRule="auto"/>
        <w:ind w:left="0"/>
        <w:jc w:val="both"/>
        <w:outlineLvl w:val="0"/>
        <w:rPr>
          <w:rFonts w:asciiTheme="majorBidi" w:eastAsia="Times New Roman" w:hAnsiTheme="majorBidi" w:cstheme="majorBidi"/>
          <w:color w:val="00B0F0"/>
          <w:kern w:val="36"/>
          <w:sz w:val="24"/>
          <w:szCs w:val="24"/>
        </w:rPr>
      </w:pPr>
      <w:r w:rsidRPr="009F1ADC">
        <w:rPr>
          <w:rFonts w:asciiTheme="majorBidi" w:eastAsia="Times New Roman" w:hAnsiTheme="majorBidi" w:cstheme="majorBidi"/>
          <w:color w:val="00B0F0"/>
          <w:kern w:val="36"/>
          <w:sz w:val="24"/>
          <w:szCs w:val="24"/>
        </w:rPr>
        <w:t>MATERIALS AND METHODS</w:t>
      </w:r>
    </w:p>
    <w:p w:rsidR="002722C8" w:rsidRPr="009F1ADC" w:rsidRDefault="002722C8" w:rsidP="002722C8">
      <w:pPr>
        <w:spacing w:after="0" w:line="480" w:lineRule="auto"/>
        <w:jc w:val="both"/>
        <w:outlineLvl w:val="0"/>
        <w:rPr>
          <w:rFonts w:asciiTheme="majorBidi" w:eastAsia="Times New Roman" w:hAnsiTheme="majorBidi" w:cstheme="majorBidi"/>
          <w:b/>
          <w:bCs/>
          <w:kern w:val="36"/>
          <w:sz w:val="24"/>
          <w:szCs w:val="24"/>
        </w:rPr>
      </w:pPr>
      <w:r w:rsidRPr="009F1ADC">
        <w:rPr>
          <w:rFonts w:asciiTheme="majorBidi" w:eastAsia="Times New Roman" w:hAnsiTheme="majorBidi" w:cstheme="majorBidi"/>
          <w:b/>
          <w:bCs/>
          <w:kern w:val="36"/>
          <w:sz w:val="24"/>
          <w:szCs w:val="24"/>
        </w:rPr>
        <w:t>Study design and participants</w:t>
      </w:r>
    </w:p>
    <w:p w:rsidR="002722C8" w:rsidRDefault="002722C8" w:rsidP="002722C8">
      <w:pPr>
        <w:spacing w:after="0" w:line="480" w:lineRule="auto"/>
        <w:jc w:val="both"/>
        <w:outlineLvl w:val="2"/>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This cross-sectional study was carried out on patients who had referred to </w:t>
      </w:r>
      <w:proofErr w:type="spellStart"/>
      <w:r>
        <w:rPr>
          <w:rFonts w:ascii="Times New Roman" w:hAnsi="Times New Roman" w:cs="B Nazanin"/>
          <w:sz w:val="24"/>
          <w:szCs w:val="24"/>
        </w:rPr>
        <w:t>Shahid</w:t>
      </w:r>
      <w:proofErr w:type="spellEnd"/>
      <w:r>
        <w:rPr>
          <w:rFonts w:ascii="Times New Roman" w:hAnsi="Times New Roman" w:cs="B Nazanin"/>
          <w:sz w:val="24"/>
          <w:szCs w:val="24"/>
        </w:rPr>
        <w:t xml:space="preserve"> </w:t>
      </w:r>
      <w:proofErr w:type="spellStart"/>
      <w:r>
        <w:rPr>
          <w:rFonts w:ascii="Times New Roman" w:hAnsi="Times New Roman" w:cs="B Nazanin"/>
          <w:sz w:val="24"/>
          <w:szCs w:val="24"/>
        </w:rPr>
        <w:t>Sadoughi</w:t>
      </w:r>
      <w:proofErr w:type="spellEnd"/>
      <w:r>
        <w:rPr>
          <w:rFonts w:ascii="Times New Roman" w:hAnsi="Times New Roman" w:cs="B Nazanin"/>
          <w:sz w:val="24"/>
          <w:szCs w:val="24"/>
        </w:rPr>
        <w:t xml:space="preserve"> Training Hospital of Yazd (Iran) </w:t>
      </w:r>
      <w:r>
        <w:rPr>
          <w:rFonts w:asciiTheme="majorBidi" w:eastAsia="Times New Roman" w:hAnsiTheme="majorBidi" w:cstheme="majorBidi"/>
          <w:kern w:val="36"/>
          <w:sz w:val="24"/>
          <w:szCs w:val="24"/>
        </w:rPr>
        <w:t>for PEG tube placement in the period of March 2014 to March 2016. The sampling method was census. A total of 97 patients who consented to participate in this study, were included after signing a written informed consent.</w:t>
      </w:r>
    </w:p>
    <w:p w:rsidR="002722C8" w:rsidRPr="002C22BA" w:rsidRDefault="002722C8" w:rsidP="002722C8">
      <w:pPr>
        <w:spacing w:after="0" w:line="456" w:lineRule="auto"/>
        <w:jc w:val="both"/>
        <w:outlineLvl w:val="2"/>
        <w:rPr>
          <w:rFonts w:asciiTheme="majorBidi" w:eastAsia="Times New Roman" w:hAnsiTheme="majorBidi" w:cstheme="majorBidi"/>
          <w:b/>
          <w:bCs/>
          <w:color w:val="1E4D78"/>
          <w:sz w:val="24"/>
          <w:szCs w:val="24"/>
        </w:rPr>
      </w:pPr>
      <w:r w:rsidRPr="002C22BA">
        <w:rPr>
          <w:rFonts w:asciiTheme="majorBidi" w:eastAsia="Times New Roman" w:hAnsiTheme="majorBidi" w:cstheme="majorBidi"/>
          <w:b/>
          <w:bCs/>
          <w:color w:val="000000"/>
          <w:sz w:val="24"/>
          <w:szCs w:val="24"/>
        </w:rPr>
        <w:t>Inclusion and exclusion criteria:</w:t>
      </w:r>
    </w:p>
    <w:p w:rsidR="002722C8" w:rsidRDefault="002722C8" w:rsidP="002722C8">
      <w:pPr>
        <w:spacing w:after="0" w:line="456"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Patients, who were referred for PEG tube placement whose dysphagia lasted for at least a month, had a life expectancy of more than a month, and had no contraindications mentioned in the introduction, were included in the study. Those with pregnancy, severe ascites, </w:t>
      </w:r>
      <w:proofErr w:type="spellStart"/>
      <w:r>
        <w:rPr>
          <w:rFonts w:asciiTheme="majorBidi" w:eastAsia="Times New Roman" w:hAnsiTheme="majorBidi" w:cstheme="majorBidi"/>
          <w:kern w:val="36"/>
          <w:sz w:val="24"/>
          <w:szCs w:val="24"/>
        </w:rPr>
        <w:t>gastroparesis</w:t>
      </w:r>
      <w:proofErr w:type="spellEnd"/>
      <w:r>
        <w:rPr>
          <w:rFonts w:asciiTheme="majorBidi" w:eastAsia="Times New Roman" w:hAnsiTheme="majorBidi" w:cstheme="majorBidi"/>
          <w:kern w:val="36"/>
          <w:sz w:val="24"/>
          <w:szCs w:val="24"/>
        </w:rPr>
        <w:t xml:space="preserve">, previous gastric resection, incurable gastric or pancreatic cancer, severe reflux, gastric outlet obstruction, uncorrected coagulopathy including (&gt; 4 seconds elongation of </w:t>
      </w:r>
      <w:proofErr w:type="spellStart"/>
      <w:r>
        <w:rPr>
          <w:rFonts w:asciiTheme="majorBidi" w:eastAsia="Times New Roman" w:hAnsiTheme="majorBidi" w:cstheme="majorBidi"/>
          <w:kern w:val="36"/>
          <w:sz w:val="24"/>
          <w:szCs w:val="24"/>
        </w:rPr>
        <w:t>prothrombin</w:t>
      </w:r>
      <w:proofErr w:type="spellEnd"/>
      <w:r>
        <w:rPr>
          <w:rFonts w:asciiTheme="majorBidi" w:eastAsia="Times New Roman" w:hAnsiTheme="majorBidi" w:cstheme="majorBidi"/>
          <w:kern w:val="36"/>
          <w:sz w:val="24"/>
          <w:szCs w:val="24"/>
        </w:rPr>
        <w:t xml:space="preserve"> time (PT), platelets less than 50×10</w:t>
      </w:r>
      <w:r>
        <w:rPr>
          <w:rFonts w:asciiTheme="majorBidi" w:eastAsia="Times New Roman" w:hAnsiTheme="majorBidi" w:cstheme="majorBidi"/>
          <w:kern w:val="36"/>
          <w:sz w:val="24"/>
          <w:szCs w:val="24"/>
          <w:vertAlign w:val="superscript"/>
        </w:rPr>
        <w:t>9</w:t>
      </w:r>
      <w:r>
        <w:rPr>
          <w:rFonts w:asciiTheme="majorBidi" w:eastAsia="Times New Roman" w:hAnsiTheme="majorBidi" w:cstheme="majorBidi"/>
          <w:kern w:val="36"/>
          <w:sz w:val="24"/>
          <w:szCs w:val="24"/>
        </w:rPr>
        <w:t>/L), and those who were dissatisfied were excluded from the study.</w:t>
      </w:r>
    </w:p>
    <w:p w:rsidR="002722C8" w:rsidRPr="002C22BA" w:rsidRDefault="002722C8" w:rsidP="002722C8">
      <w:pPr>
        <w:spacing w:after="0" w:line="456" w:lineRule="auto"/>
        <w:jc w:val="both"/>
        <w:outlineLvl w:val="0"/>
        <w:rPr>
          <w:rFonts w:asciiTheme="majorBidi" w:eastAsia="Times New Roman" w:hAnsiTheme="majorBidi" w:cstheme="majorBidi"/>
          <w:b/>
          <w:bCs/>
          <w:kern w:val="36"/>
          <w:sz w:val="24"/>
          <w:szCs w:val="24"/>
        </w:rPr>
      </w:pPr>
      <w:r w:rsidRPr="002C22BA">
        <w:rPr>
          <w:rFonts w:asciiTheme="majorBidi" w:eastAsia="Times New Roman" w:hAnsiTheme="majorBidi" w:cstheme="majorBidi"/>
          <w:b/>
          <w:bCs/>
          <w:kern w:val="36"/>
          <w:sz w:val="24"/>
          <w:szCs w:val="24"/>
        </w:rPr>
        <w:t>Procedure</w:t>
      </w:r>
    </w:p>
    <w:p w:rsidR="002722C8" w:rsidRDefault="002722C8" w:rsidP="002C22BA">
      <w:pPr>
        <w:spacing w:after="0" w:line="456"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All the processes related to PEG tube placement were done in Gastroenterology unit of </w:t>
      </w:r>
      <w:proofErr w:type="spellStart"/>
      <w:r>
        <w:rPr>
          <w:rFonts w:asciiTheme="majorBidi" w:eastAsia="Times New Roman" w:hAnsiTheme="majorBidi" w:cstheme="majorBidi"/>
          <w:kern w:val="36"/>
          <w:sz w:val="24"/>
          <w:szCs w:val="24"/>
        </w:rPr>
        <w:t>Shahid</w:t>
      </w:r>
      <w:proofErr w:type="spellEnd"/>
      <w:r>
        <w:rPr>
          <w:rFonts w:asciiTheme="majorBidi" w:eastAsia="Times New Roman" w:hAnsiTheme="majorBidi" w:cstheme="majorBidi"/>
          <w:kern w:val="36"/>
          <w:sz w:val="24"/>
          <w:szCs w:val="24"/>
        </w:rPr>
        <w:t xml:space="preserve"> </w:t>
      </w:r>
      <w:proofErr w:type="spellStart"/>
      <w:r>
        <w:rPr>
          <w:rFonts w:asciiTheme="majorBidi" w:eastAsia="Times New Roman" w:hAnsiTheme="majorBidi" w:cstheme="majorBidi"/>
          <w:kern w:val="36"/>
          <w:sz w:val="24"/>
          <w:szCs w:val="24"/>
        </w:rPr>
        <w:t>Sadoughi</w:t>
      </w:r>
      <w:proofErr w:type="spellEnd"/>
      <w:r>
        <w:rPr>
          <w:rFonts w:asciiTheme="majorBidi" w:eastAsia="Times New Roman" w:hAnsiTheme="majorBidi" w:cstheme="majorBidi"/>
          <w:kern w:val="36"/>
          <w:sz w:val="24"/>
          <w:szCs w:val="24"/>
        </w:rPr>
        <w:t xml:space="preserve"> Training Hospital of Yazd (Iran). Routine antibiotic prophylaxis were given to the patients as two grams of </w:t>
      </w:r>
      <w:proofErr w:type="spellStart"/>
      <w:r>
        <w:rPr>
          <w:rFonts w:asciiTheme="majorBidi" w:eastAsia="Times New Roman" w:hAnsiTheme="majorBidi" w:cstheme="majorBidi"/>
          <w:kern w:val="36"/>
          <w:sz w:val="24"/>
          <w:szCs w:val="24"/>
        </w:rPr>
        <w:t>cephazolin</w:t>
      </w:r>
      <w:proofErr w:type="spellEnd"/>
      <w:r>
        <w:rPr>
          <w:rFonts w:asciiTheme="majorBidi" w:eastAsia="Times New Roman" w:hAnsiTheme="majorBidi" w:cstheme="majorBidi"/>
          <w:kern w:val="36"/>
          <w:sz w:val="24"/>
          <w:szCs w:val="24"/>
        </w:rPr>
        <w:t xml:space="preserve"> (one gram 12 hours and one gram 6 hours before the procedure), while they were fast since 12 hours before. Intravenous injection of midazolam (</w:t>
      </w:r>
      <w:proofErr w:type="spellStart"/>
      <w:r>
        <w:rPr>
          <w:rFonts w:asciiTheme="majorBidi" w:eastAsia="Times New Roman" w:hAnsiTheme="majorBidi" w:cstheme="majorBidi"/>
          <w:i/>
          <w:iCs/>
          <w:kern w:val="36"/>
          <w:sz w:val="24"/>
          <w:szCs w:val="24"/>
        </w:rPr>
        <w:t>Midamax</w:t>
      </w:r>
      <w:proofErr w:type="spellEnd"/>
      <w:r>
        <w:rPr>
          <w:rFonts w:asciiTheme="majorBidi" w:eastAsia="Times New Roman" w:hAnsiTheme="majorBidi" w:cstheme="majorBidi"/>
          <w:i/>
          <w:iCs/>
          <w:kern w:val="36"/>
          <w:sz w:val="24"/>
          <w:szCs w:val="24"/>
        </w:rPr>
        <w:t xml:space="preserve">, Tehran </w:t>
      </w:r>
      <w:proofErr w:type="spellStart"/>
      <w:r>
        <w:rPr>
          <w:rFonts w:asciiTheme="majorBidi" w:eastAsia="Times New Roman" w:hAnsiTheme="majorBidi" w:cstheme="majorBidi"/>
          <w:i/>
          <w:iCs/>
          <w:kern w:val="36"/>
          <w:sz w:val="24"/>
          <w:szCs w:val="24"/>
        </w:rPr>
        <w:t>Chemie</w:t>
      </w:r>
      <w:proofErr w:type="spellEnd"/>
      <w:r>
        <w:rPr>
          <w:rFonts w:asciiTheme="majorBidi" w:eastAsia="Times New Roman" w:hAnsiTheme="majorBidi" w:cstheme="majorBidi"/>
          <w:i/>
          <w:iCs/>
          <w:kern w:val="36"/>
          <w:sz w:val="24"/>
          <w:szCs w:val="24"/>
        </w:rPr>
        <w:t xml:space="preserve"> Pharmaceutical Co., Iran</w:t>
      </w:r>
      <w:r>
        <w:rPr>
          <w:rFonts w:asciiTheme="majorBidi" w:eastAsia="Times New Roman" w:hAnsiTheme="majorBidi" w:cstheme="majorBidi"/>
          <w:kern w:val="36"/>
          <w:sz w:val="24"/>
          <w:szCs w:val="24"/>
        </w:rPr>
        <w:t xml:space="preserve">) and local anesthesia with </w:t>
      </w:r>
      <w:proofErr w:type="spellStart"/>
      <w:r>
        <w:rPr>
          <w:rFonts w:asciiTheme="majorBidi" w:eastAsia="Times New Roman" w:hAnsiTheme="majorBidi" w:cstheme="majorBidi"/>
          <w:kern w:val="36"/>
          <w:sz w:val="24"/>
          <w:szCs w:val="24"/>
        </w:rPr>
        <w:lastRenderedPageBreak/>
        <w:t>lidocaine</w:t>
      </w:r>
      <w:proofErr w:type="spellEnd"/>
      <w:r>
        <w:rPr>
          <w:rFonts w:asciiTheme="majorBidi" w:eastAsia="Times New Roman" w:hAnsiTheme="majorBidi" w:cstheme="majorBidi"/>
          <w:kern w:val="36"/>
          <w:sz w:val="24"/>
          <w:szCs w:val="24"/>
        </w:rPr>
        <w:t xml:space="preserve"> hydrochloride spray (</w:t>
      </w:r>
      <w:proofErr w:type="spellStart"/>
      <w:r>
        <w:rPr>
          <w:rFonts w:asciiTheme="majorBidi" w:eastAsia="Times New Roman" w:hAnsiTheme="majorBidi" w:cstheme="majorBidi"/>
          <w:i/>
          <w:iCs/>
          <w:kern w:val="36"/>
          <w:sz w:val="24"/>
          <w:szCs w:val="24"/>
        </w:rPr>
        <w:t>Lignodic</w:t>
      </w:r>
      <w:proofErr w:type="spellEnd"/>
      <w:r>
        <w:rPr>
          <w:rFonts w:asciiTheme="majorBidi" w:eastAsia="Times New Roman" w:hAnsiTheme="majorBidi" w:cstheme="majorBidi"/>
          <w:i/>
          <w:iCs/>
          <w:kern w:val="36"/>
          <w:sz w:val="24"/>
          <w:szCs w:val="24"/>
        </w:rPr>
        <w:t xml:space="preserve">, Caspian </w:t>
      </w:r>
      <w:proofErr w:type="spellStart"/>
      <w:r>
        <w:rPr>
          <w:rFonts w:asciiTheme="majorBidi" w:eastAsia="Times New Roman" w:hAnsiTheme="majorBidi" w:cstheme="majorBidi"/>
          <w:i/>
          <w:iCs/>
          <w:kern w:val="36"/>
          <w:sz w:val="24"/>
          <w:szCs w:val="24"/>
        </w:rPr>
        <w:t>Tamin</w:t>
      </w:r>
      <w:proofErr w:type="spellEnd"/>
      <w:r>
        <w:rPr>
          <w:rFonts w:asciiTheme="majorBidi" w:eastAsia="Times New Roman" w:hAnsiTheme="majorBidi" w:cstheme="majorBidi"/>
          <w:i/>
          <w:iCs/>
          <w:kern w:val="36"/>
          <w:sz w:val="24"/>
          <w:szCs w:val="24"/>
        </w:rPr>
        <w:t xml:space="preserve"> Pharmaceutical Co., Iran</w:t>
      </w:r>
      <w:r>
        <w:rPr>
          <w:rFonts w:asciiTheme="majorBidi" w:eastAsia="Times New Roman" w:hAnsiTheme="majorBidi" w:cstheme="majorBidi"/>
          <w:kern w:val="36"/>
          <w:sz w:val="24"/>
          <w:szCs w:val="24"/>
        </w:rPr>
        <w:t xml:space="preserve">) were used for preparation of PEG tube placement. Standard kit for PEG tube placement for all patients was </w:t>
      </w:r>
      <w:proofErr w:type="spellStart"/>
      <w:r>
        <w:rPr>
          <w:rFonts w:asciiTheme="majorBidi" w:eastAsia="Times New Roman" w:hAnsiTheme="majorBidi" w:cstheme="majorBidi"/>
          <w:i/>
          <w:iCs/>
          <w:kern w:val="36"/>
          <w:sz w:val="24"/>
          <w:szCs w:val="24"/>
        </w:rPr>
        <w:t>Endovive</w:t>
      </w:r>
      <w:proofErr w:type="spellEnd"/>
      <w:r>
        <w:rPr>
          <w:rFonts w:asciiTheme="majorBidi" w:eastAsia="Times New Roman" w:hAnsiTheme="majorBidi" w:cstheme="majorBidi"/>
          <w:i/>
          <w:iCs/>
          <w:kern w:val="36"/>
          <w:sz w:val="24"/>
          <w:szCs w:val="24"/>
        </w:rPr>
        <w:t xml:space="preserve"> 24 </w:t>
      </w:r>
      <w:proofErr w:type="spellStart"/>
      <w:r>
        <w:rPr>
          <w:rFonts w:asciiTheme="majorBidi" w:eastAsia="Times New Roman" w:hAnsiTheme="majorBidi" w:cstheme="majorBidi"/>
          <w:i/>
          <w:iCs/>
          <w:kern w:val="36"/>
          <w:sz w:val="24"/>
          <w:szCs w:val="24"/>
        </w:rPr>
        <w:t>Fr</w:t>
      </w:r>
      <w:proofErr w:type="spellEnd"/>
      <w:r>
        <w:rPr>
          <w:rFonts w:asciiTheme="majorBidi" w:eastAsia="Times New Roman" w:hAnsiTheme="majorBidi" w:cstheme="majorBidi"/>
          <w:i/>
          <w:iCs/>
          <w:kern w:val="36"/>
          <w:sz w:val="24"/>
          <w:szCs w:val="24"/>
        </w:rPr>
        <w:t>, Boston Scientific Corporation, USA</w:t>
      </w:r>
      <w:r>
        <w:rPr>
          <w:rFonts w:asciiTheme="majorBidi" w:eastAsia="Times New Roman" w:hAnsiTheme="majorBidi" w:cstheme="majorBidi"/>
          <w:kern w:val="36"/>
          <w:sz w:val="24"/>
          <w:szCs w:val="24"/>
        </w:rPr>
        <w:t xml:space="preserve">. To prevent distortion of the results and equality of the procedure, the entire processes were done by a single team, consisted of two experienced </w:t>
      </w:r>
      <w:proofErr w:type="spellStart"/>
      <w:r>
        <w:rPr>
          <w:rFonts w:asciiTheme="majorBidi" w:eastAsia="Times New Roman" w:hAnsiTheme="majorBidi" w:cstheme="majorBidi"/>
          <w:kern w:val="36"/>
          <w:sz w:val="24"/>
          <w:szCs w:val="24"/>
        </w:rPr>
        <w:t>endoscopists</w:t>
      </w:r>
      <w:proofErr w:type="spellEnd"/>
      <w:r>
        <w:rPr>
          <w:rFonts w:asciiTheme="majorBidi" w:eastAsia="Times New Roman" w:hAnsiTheme="majorBidi" w:cstheme="majorBidi"/>
          <w:kern w:val="36"/>
          <w:sz w:val="24"/>
          <w:szCs w:val="24"/>
        </w:rPr>
        <w:t>, and trained assistants, and nurses.</w:t>
      </w:r>
    </w:p>
    <w:p w:rsidR="002C22BA" w:rsidRDefault="002C22BA" w:rsidP="002C22BA">
      <w:pPr>
        <w:spacing w:after="0" w:line="456" w:lineRule="auto"/>
        <w:jc w:val="both"/>
        <w:outlineLvl w:val="0"/>
        <w:rPr>
          <w:rFonts w:asciiTheme="majorBidi" w:eastAsia="Times New Roman" w:hAnsiTheme="majorBidi" w:cstheme="majorBidi"/>
          <w:kern w:val="36"/>
          <w:sz w:val="24"/>
          <w:szCs w:val="24"/>
        </w:rPr>
      </w:pPr>
    </w:p>
    <w:p w:rsidR="002722C8" w:rsidRPr="002C22BA" w:rsidRDefault="002722C8" w:rsidP="002722C8">
      <w:pPr>
        <w:spacing w:after="0" w:line="456" w:lineRule="auto"/>
        <w:jc w:val="both"/>
        <w:outlineLvl w:val="0"/>
        <w:rPr>
          <w:rFonts w:asciiTheme="majorBidi" w:eastAsia="Times New Roman" w:hAnsiTheme="majorBidi" w:cstheme="majorBidi"/>
          <w:b/>
          <w:bCs/>
          <w:kern w:val="36"/>
          <w:sz w:val="24"/>
          <w:szCs w:val="24"/>
        </w:rPr>
      </w:pPr>
      <w:r w:rsidRPr="002C22BA">
        <w:rPr>
          <w:rFonts w:asciiTheme="majorBidi" w:eastAsia="Times New Roman" w:hAnsiTheme="majorBidi" w:cstheme="majorBidi"/>
          <w:b/>
          <w:bCs/>
          <w:kern w:val="36"/>
          <w:sz w:val="24"/>
          <w:szCs w:val="24"/>
        </w:rPr>
        <w:t>Questionnaire:</w:t>
      </w:r>
    </w:p>
    <w:p w:rsidR="002722C8" w:rsidRDefault="002722C8" w:rsidP="002722C8">
      <w:pPr>
        <w:spacing w:after="0" w:line="456"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The questionnaire used in this study consisted of five sections. The first part included demographic information such as name, age, sex, occupation, starting time of the underlying disease, and history of abdominal surgery. The second part was related to the underlying condition of the patient. The third part determined the previous method that the patient was fed up with. The fourth part was about the complications caused after receiving PEG tube, and finally patient's survival would be determined.</w:t>
      </w:r>
    </w:p>
    <w:p w:rsidR="002722C8" w:rsidRPr="002C22BA" w:rsidRDefault="002722C8" w:rsidP="002722C8">
      <w:pPr>
        <w:spacing w:after="0" w:line="480" w:lineRule="auto"/>
        <w:jc w:val="both"/>
        <w:outlineLvl w:val="0"/>
        <w:rPr>
          <w:rFonts w:asciiTheme="majorBidi" w:eastAsia="Times New Roman" w:hAnsiTheme="majorBidi" w:cstheme="majorBidi"/>
          <w:b/>
          <w:bCs/>
          <w:kern w:val="36"/>
          <w:sz w:val="24"/>
          <w:szCs w:val="24"/>
        </w:rPr>
      </w:pPr>
      <w:r>
        <w:rPr>
          <w:rFonts w:asciiTheme="majorBidi" w:eastAsia="Times New Roman" w:hAnsiTheme="majorBidi" w:cstheme="majorBidi"/>
          <w:kern w:val="36"/>
          <w:sz w:val="24"/>
          <w:szCs w:val="24"/>
        </w:rPr>
        <w:t> </w:t>
      </w:r>
      <w:r w:rsidRPr="002C22BA">
        <w:rPr>
          <w:rFonts w:asciiTheme="majorBidi" w:eastAsia="Times New Roman" w:hAnsiTheme="majorBidi" w:cstheme="majorBidi"/>
          <w:b/>
          <w:bCs/>
          <w:kern w:val="36"/>
          <w:sz w:val="24"/>
          <w:szCs w:val="24"/>
        </w:rPr>
        <w:t>Data analysis</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Data are presented as </w:t>
      </w:r>
      <w:proofErr w:type="spellStart"/>
      <w:r>
        <w:rPr>
          <w:rFonts w:asciiTheme="majorBidi" w:eastAsia="Times New Roman" w:hAnsiTheme="majorBidi" w:cstheme="majorBidi"/>
          <w:kern w:val="36"/>
          <w:sz w:val="24"/>
          <w:szCs w:val="24"/>
        </w:rPr>
        <w:t>mean±SD</w:t>
      </w:r>
      <w:proofErr w:type="spellEnd"/>
      <w:r>
        <w:rPr>
          <w:rFonts w:asciiTheme="majorBidi" w:eastAsia="Times New Roman" w:hAnsiTheme="majorBidi" w:cstheme="majorBidi"/>
          <w:kern w:val="36"/>
          <w:sz w:val="24"/>
          <w:szCs w:val="24"/>
        </w:rPr>
        <w:t xml:space="preserve"> for age and percentage for indications, complications, and survival. Statistical analysis was done using SPSS software version 18.0. P&lt;0.05 was considered as statistically significant.</w:t>
      </w:r>
    </w:p>
    <w:p w:rsidR="002722C8" w:rsidRDefault="002722C8" w:rsidP="002722C8">
      <w:pPr>
        <w:spacing w:after="0" w:line="480" w:lineRule="auto"/>
        <w:jc w:val="both"/>
        <w:outlineLvl w:val="0"/>
        <w:rPr>
          <w:rFonts w:asciiTheme="majorBidi" w:eastAsia="Times New Roman" w:hAnsiTheme="majorBidi" w:cstheme="majorBidi"/>
          <w:b/>
          <w:bCs/>
          <w:kern w:val="36"/>
          <w:sz w:val="24"/>
          <w:szCs w:val="24"/>
        </w:rPr>
      </w:pPr>
    </w:p>
    <w:p w:rsidR="002722C8" w:rsidRPr="002C22BA" w:rsidRDefault="002C22BA" w:rsidP="002722C8">
      <w:pPr>
        <w:spacing w:after="0" w:line="480" w:lineRule="auto"/>
        <w:jc w:val="both"/>
        <w:outlineLvl w:val="0"/>
        <w:rPr>
          <w:rFonts w:asciiTheme="majorBidi" w:eastAsia="Times New Roman" w:hAnsiTheme="majorBidi" w:cstheme="majorBidi"/>
          <w:color w:val="00B0F0"/>
          <w:kern w:val="36"/>
          <w:sz w:val="24"/>
          <w:szCs w:val="24"/>
        </w:rPr>
      </w:pPr>
      <w:r w:rsidRPr="002C22BA">
        <w:rPr>
          <w:rFonts w:asciiTheme="majorBidi" w:eastAsia="Times New Roman" w:hAnsiTheme="majorBidi" w:cstheme="majorBidi"/>
          <w:color w:val="00B0F0"/>
          <w:kern w:val="36"/>
          <w:sz w:val="24"/>
          <w:szCs w:val="24"/>
        </w:rPr>
        <w:t>RESULTS</w:t>
      </w:r>
    </w:p>
    <w:p w:rsidR="002722C8" w:rsidRPr="002C22BA" w:rsidRDefault="002722C8" w:rsidP="002722C8">
      <w:pPr>
        <w:spacing w:after="0" w:line="480" w:lineRule="auto"/>
        <w:jc w:val="both"/>
        <w:outlineLvl w:val="0"/>
        <w:rPr>
          <w:rFonts w:asciiTheme="majorBidi" w:eastAsia="Times New Roman" w:hAnsiTheme="majorBidi" w:cstheme="majorBidi"/>
          <w:b/>
          <w:bCs/>
          <w:kern w:val="36"/>
          <w:sz w:val="24"/>
          <w:szCs w:val="24"/>
        </w:rPr>
      </w:pPr>
      <w:r w:rsidRPr="002C22BA">
        <w:rPr>
          <w:rFonts w:asciiTheme="majorBidi" w:eastAsia="Times New Roman" w:hAnsiTheme="majorBidi" w:cstheme="majorBidi"/>
          <w:b/>
          <w:bCs/>
          <w:kern w:val="36"/>
          <w:sz w:val="24"/>
          <w:szCs w:val="24"/>
        </w:rPr>
        <w:t>Demographic information:</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From March 2014 to March 2016 a total of 108 patients who were referred to </w:t>
      </w:r>
      <w:proofErr w:type="spellStart"/>
      <w:r>
        <w:rPr>
          <w:rFonts w:asciiTheme="majorBidi" w:eastAsia="Times New Roman" w:hAnsiTheme="majorBidi" w:cstheme="majorBidi"/>
          <w:kern w:val="36"/>
          <w:sz w:val="24"/>
          <w:szCs w:val="24"/>
        </w:rPr>
        <w:t>Shahid</w:t>
      </w:r>
      <w:proofErr w:type="spellEnd"/>
      <w:r>
        <w:rPr>
          <w:rFonts w:asciiTheme="majorBidi" w:eastAsia="Times New Roman" w:hAnsiTheme="majorBidi" w:cstheme="majorBidi"/>
          <w:kern w:val="36"/>
          <w:sz w:val="24"/>
          <w:szCs w:val="24"/>
        </w:rPr>
        <w:t xml:space="preserve"> </w:t>
      </w:r>
      <w:proofErr w:type="spellStart"/>
      <w:r>
        <w:rPr>
          <w:rFonts w:asciiTheme="majorBidi" w:eastAsia="Times New Roman" w:hAnsiTheme="majorBidi" w:cstheme="majorBidi"/>
          <w:kern w:val="36"/>
          <w:sz w:val="24"/>
          <w:szCs w:val="24"/>
        </w:rPr>
        <w:t>Sadoughi</w:t>
      </w:r>
      <w:proofErr w:type="spellEnd"/>
      <w:r>
        <w:rPr>
          <w:rFonts w:asciiTheme="majorBidi" w:eastAsia="Times New Roman" w:hAnsiTheme="majorBidi" w:cstheme="majorBidi"/>
          <w:kern w:val="36"/>
          <w:sz w:val="24"/>
          <w:szCs w:val="24"/>
        </w:rPr>
        <w:t xml:space="preserve"> Training Hospital of Yazd for PEG tube placement, were included in the study. Having considered the exclusion criteria, 11 patients were excluded from the study, out of </w:t>
      </w:r>
      <w:proofErr w:type="gramStart"/>
      <w:r>
        <w:rPr>
          <w:rFonts w:asciiTheme="majorBidi" w:eastAsia="Times New Roman" w:hAnsiTheme="majorBidi" w:cstheme="majorBidi"/>
          <w:kern w:val="36"/>
          <w:sz w:val="24"/>
          <w:szCs w:val="24"/>
        </w:rPr>
        <w:t>whom</w:t>
      </w:r>
      <w:proofErr w:type="gramEnd"/>
      <w:r>
        <w:rPr>
          <w:rFonts w:asciiTheme="majorBidi" w:eastAsia="Times New Roman" w:hAnsiTheme="majorBidi" w:cstheme="majorBidi"/>
          <w:kern w:val="36"/>
          <w:sz w:val="24"/>
          <w:szCs w:val="24"/>
        </w:rPr>
        <w:t xml:space="preserve"> five had previous extensive abdominal surgery, three were treated with anti-coagulants, two had severe ascites, and one had chronic severe cough. Finally, 97 patients were enrolled in the study and were followed-up for complications and one-year survival. </w:t>
      </w:r>
      <w:r>
        <w:rPr>
          <w:rFonts w:asciiTheme="majorBidi" w:eastAsia="Times New Roman" w:hAnsiTheme="majorBidi" w:cstheme="majorBidi"/>
          <w:kern w:val="36"/>
          <w:sz w:val="24"/>
          <w:szCs w:val="24"/>
        </w:rPr>
        <w:lastRenderedPageBreak/>
        <w:t xml:space="preserve">They included 32 women (33%) and 65 men (67%). The mean age of the patients was 22.5±50.74 (range 14 to 92) years. PEG tube placement was successful in all the patients except in one case </w:t>
      </w:r>
      <w:proofErr w:type="gramStart"/>
      <w:r>
        <w:rPr>
          <w:rFonts w:asciiTheme="majorBidi" w:eastAsia="Times New Roman" w:hAnsiTheme="majorBidi" w:cstheme="majorBidi"/>
          <w:kern w:val="36"/>
          <w:sz w:val="24"/>
          <w:szCs w:val="24"/>
        </w:rPr>
        <w:t>that</w:t>
      </w:r>
      <w:proofErr w:type="gramEnd"/>
      <w:r>
        <w:rPr>
          <w:rFonts w:asciiTheme="majorBidi" w:eastAsia="Times New Roman" w:hAnsiTheme="majorBidi" w:cstheme="majorBidi"/>
          <w:kern w:val="36"/>
          <w:sz w:val="24"/>
          <w:szCs w:val="24"/>
        </w:rPr>
        <w:t xml:space="preserve"> two weeks after PEG tube placement, we had to remove it due to recurrent vomiting. Other patients benefited from this method until the end of the treatment period. Neither mortality nor complication was observed after PEG tube placement. The previous patients’ feeding method was using NG tube in 92 cases (94.8%) and in the remaining 5 cases (5.2%), the method was total parenteral nutrition (TPN)</w:t>
      </w:r>
      <w:r w:rsidRPr="002C22BA">
        <w:rPr>
          <w:rFonts w:asciiTheme="majorBidi" w:eastAsia="Times New Roman" w:hAnsiTheme="majorBidi" w:cstheme="majorBidi"/>
          <w:kern w:val="36"/>
          <w:sz w:val="24"/>
          <w:szCs w:val="24"/>
        </w:rPr>
        <w:t>. Table 1 shows the</w:t>
      </w:r>
      <w:r>
        <w:rPr>
          <w:rFonts w:asciiTheme="majorBidi" w:eastAsia="Times New Roman" w:hAnsiTheme="majorBidi" w:cstheme="majorBidi"/>
          <w:color w:val="4F81BD" w:themeColor="accent1"/>
          <w:kern w:val="36"/>
          <w:sz w:val="24"/>
          <w:szCs w:val="24"/>
        </w:rPr>
        <w:t xml:space="preserve"> </w:t>
      </w:r>
      <w:r>
        <w:rPr>
          <w:rFonts w:asciiTheme="majorBidi" w:eastAsia="Times New Roman" w:hAnsiTheme="majorBidi" w:cstheme="majorBidi"/>
          <w:kern w:val="36"/>
          <w:sz w:val="24"/>
          <w:szCs w:val="24"/>
        </w:rPr>
        <w:t>patients’ demographic data.</w:t>
      </w:r>
    </w:p>
    <w:p w:rsidR="002C22BA" w:rsidRDefault="002C22BA" w:rsidP="002722C8">
      <w:pPr>
        <w:spacing w:after="0" w:line="480" w:lineRule="auto"/>
        <w:jc w:val="both"/>
        <w:outlineLvl w:val="0"/>
        <w:rPr>
          <w:rFonts w:asciiTheme="majorBidi" w:eastAsia="Times New Roman" w:hAnsiTheme="majorBidi" w:cstheme="majorBidi"/>
          <w:kern w:val="36"/>
          <w:sz w:val="24"/>
          <w:szCs w:val="24"/>
        </w:rPr>
      </w:pPr>
    </w:p>
    <w:p w:rsidR="002C22BA" w:rsidRPr="002C22BA" w:rsidRDefault="002C22BA" w:rsidP="002C22BA">
      <w:pPr>
        <w:spacing w:line="360" w:lineRule="auto"/>
        <w:ind w:hanging="1"/>
        <w:jc w:val="center"/>
        <w:rPr>
          <w:rFonts w:ascii="Times New Roman" w:hAnsi="Times New Roman" w:cs="B Nazanin"/>
          <w:b/>
          <w:bCs/>
          <w:sz w:val="20"/>
          <w:szCs w:val="24"/>
        </w:rPr>
      </w:pPr>
      <w:r w:rsidRPr="002C22BA">
        <w:rPr>
          <w:rFonts w:ascii="Times New Roman" w:hAnsi="Times New Roman" w:cs="B Nazanin"/>
          <w:b/>
          <w:bCs/>
          <w:color w:val="00B0F0"/>
          <w:sz w:val="20"/>
          <w:szCs w:val="24"/>
        </w:rPr>
        <w:t>Table 1:</w:t>
      </w:r>
      <w:r w:rsidRPr="002C22BA">
        <w:rPr>
          <w:rFonts w:ascii="Times New Roman" w:hAnsi="Times New Roman" w:cs="B Nazanin"/>
          <w:b/>
          <w:bCs/>
          <w:sz w:val="20"/>
          <w:szCs w:val="24"/>
        </w:rPr>
        <w:t xml:space="preserve"> Baseline characteristics of the patients TPN: Total parenteral nutrition; NG tube: Nasogastric tube.</w:t>
      </w:r>
      <w:r>
        <w:rPr>
          <w:rFonts w:ascii="Times New Roman" w:hAnsi="Times New Roman" w:cs="B Nazanin"/>
          <w:b/>
          <w:bCs/>
          <w:sz w:val="20"/>
          <w:szCs w:val="24"/>
        </w:rPr>
        <w:t xml:space="preserve"> </w:t>
      </w:r>
      <w:r w:rsidRPr="002C22BA">
        <w:rPr>
          <w:rFonts w:ascii="Times New Roman" w:hAnsi="Times New Roman" w:cs="B Nazanin"/>
          <w:b/>
          <w:bCs/>
          <w:sz w:val="20"/>
          <w:szCs w:val="24"/>
        </w:rPr>
        <w:t>Data are presented as frequency (percentage).</w:t>
      </w:r>
    </w:p>
    <w:p w:rsidR="002C22BA" w:rsidRDefault="002C22BA" w:rsidP="002722C8">
      <w:pPr>
        <w:spacing w:after="0" w:line="480" w:lineRule="auto"/>
        <w:jc w:val="both"/>
        <w:outlineLvl w:val="0"/>
        <w:rPr>
          <w:rFonts w:asciiTheme="majorBidi" w:eastAsia="Times New Roman" w:hAnsiTheme="majorBidi" w:cstheme="majorBidi"/>
          <w:kern w:val="36"/>
          <w:sz w:val="24"/>
          <w:szCs w:val="24"/>
        </w:rPr>
      </w:pPr>
    </w:p>
    <w:tbl>
      <w:tblPr>
        <w:tblStyle w:val="TableGrid"/>
        <w:bidiVisual/>
        <w:tblW w:w="0" w:type="auto"/>
        <w:jc w:val="center"/>
        <w:tblLook w:val="04A0" w:firstRow="1" w:lastRow="0" w:firstColumn="1" w:lastColumn="0" w:noHBand="0" w:noVBand="1"/>
      </w:tblPr>
      <w:tblGrid>
        <w:gridCol w:w="2693"/>
        <w:gridCol w:w="2552"/>
      </w:tblGrid>
      <w:tr w:rsidR="002722C8" w:rsidTr="002722C8">
        <w:trPr>
          <w:trHeight w:val="556"/>
          <w:jc w:val="center"/>
        </w:trPr>
        <w:tc>
          <w:tcPr>
            <w:tcW w:w="2693"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722C8" w:rsidRDefault="002722C8">
            <w:pPr>
              <w:bidi/>
              <w:spacing w:after="0" w:line="240" w:lineRule="auto"/>
              <w:jc w:val="center"/>
              <w:rPr>
                <w:rFonts w:ascii="Times New Roman" w:hAnsi="Times New Roman" w:cs="Times New Roman"/>
                <w:color w:val="FFFFFF" w:themeColor="background1"/>
                <w:sz w:val="20"/>
                <w:szCs w:val="20"/>
                <w:lang w:bidi="fa-IR"/>
              </w:rPr>
            </w:pPr>
            <w:proofErr w:type="gramStart"/>
            <w:r>
              <w:rPr>
                <w:rFonts w:ascii="Times New Roman" w:hAnsi="Times New Roman" w:cs="Times New Roman"/>
                <w:color w:val="FFFFFF" w:themeColor="background1"/>
                <w:sz w:val="20"/>
                <w:szCs w:val="20"/>
                <w:lang w:bidi="fa-IR"/>
              </w:rPr>
              <w:t>n</w:t>
            </w:r>
            <w:proofErr w:type="gramEnd"/>
            <w:r>
              <w:rPr>
                <w:rFonts w:ascii="Times New Roman" w:hAnsi="Times New Roman" w:cs="Times New Roman"/>
                <w:sz w:val="20"/>
                <w:szCs w:val="20"/>
                <w:lang w:bidi="fa-IR"/>
              </w:rPr>
              <w:t xml:space="preserve"> </w:t>
            </w:r>
            <w:r>
              <w:rPr>
                <w:rFonts w:ascii="Times New Roman" w:hAnsi="Times New Roman" w:cs="Times New Roman"/>
                <w:color w:val="FFFFFF" w:themeColor="background1"/>
                <w:sz w:val="20"/>
                <w:szCs w:val="20"/>
                <w:lang w:bidi="fa-IR"/>
              </w:rPr>
              <w:t>(%)</w:t>
            </w:r>
          </w:p>
        </w:tc>
        <w:tc>
          <w:tcPr>
            <w:tcW w:w="255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722C8" w:rsidRDefault="002722C8">
            <w:pPr>
              <w:bidi/>
              <w:spacing w:after="0" w:line="240" w:lineRule="auto"/>
              <w:jc w:val="center"/>
              <w:rPr>
                <w:rFonts w:ascii="Times New Roman" w:hAnsi="Times New Roman" w:cs="Times New Roman"/>
                <w:color w:val="FFFFFF" w:themeColor="background1"/>
                <w:sz w:val="20"/>
                <w:szCs w:val="20"/>
                <w:lang w:bidi="fa-IR"/>
              </w:rPr>
            </w:pPr>
            <w:r>
              <w:rPr>
                <w:rFonts w:ascii="Times New Roman" w:hAnsi="Times New Roman" w:cs="Times New Roman"/>
                <w:color w:val="FFFFFF" w:themeColor="background1"/>
                <w:sz w:val="20"/>
                <w:szCs w:val="20"/>
                <w:lang w:bidi="fa-IR"/>
              </w:rPr>
              <w:t>Characteristic</w:t>
            </w:r>
          </w:p>
        </w:tc>
      </w:tr>
      <w:tr w:rsidR="002722C8" w:rsidTr="002722C8">
        <w:trPr>
          <w:trHeight w:val="567"/>
          <w:jc w:val="center"/>
        </w:trPr>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722C8" w:rsidRDefault="002722C8" w:rsidP="00B10433">
            <w:pPr>
              <w:bidi/>
              <w:spacing w:after="0" w:line="276"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50/74 ± 22/5 (range 14 to 92)</w:t>
            </w:r>
          </w:p>
        </w:tc>
        <w:tc>
          <w:tcPr>
            <w:tcW w:w="255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722C8" w:rsidRDefault="002722C8" w:rsidP="00B10433">
            <w:pPr>
              <w:bidi/>
              <w:spacing w:after="0" w:line="240" w:lineRule="auto"/>
              <w:jc w:val="right"/>
              <w:rPr>
                <w:rFonts w:ascii="Times New Roman" w:hAnsi="Times New Roman" w:cs="Times New Roman"/>
                <w:color w:val="FFFFFF" w:themeColor="background1"/>
                <w:sz w:val="20"/>
                <w:szCs w:val="20"/>
                <w:lang w:bidi="fa-IR"/>
              </w:rPr>
            </w:pPr>
            <w:r>
              <w:rPr>
                <w:rFonts w:ascii="Times New Roman" w:hAnsi="Times New Roman" w:cs="Times New Roman"/>
                <w:color w:val="FFFFFF" w:themeColor="background1"/>
                <w:sz w:val="20"/>
                <w:szCs w:val="20"/>
                <w:lang w:bidi="fa-IR"/>
              </w:rPr>
              <w:t>Age</w:t>
            </w:r>
          </w:p>
        </w:tc>
      </w:tr>
      <w:tr w:rsidR="002722C8" w:rsidTr="002722C8">
        <w:trPr>
          <w:trHeight w:val="567"/>
          <w:jc w:val="center"/>
        </w:trPr>
        <w:tc>
          <w:tcPr>
            <w:tcW w:w="26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722C8" w:rsidRDefault="002722C8" w:rsidP="00B10433">
            <w:pPr>
              <w:bidi/>
              <w:spacing w:after="0" w:line="276"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Male: 65 (67%)</w:t>
            </w:r>
          </w:p>
          <w:p w:rsidR="002722C8" w:rsidRDefault="002722C8" w:rsidP="00B10433">
            <w:pPr>
              <w:bidi/>
              <w:spacing w:after="0" w:line="276"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Female: 32 (33%)</w:t>
            </w:r>
          </w:p>
        </w:tc>
        <w:tc>
          <w:tcPr>
            <w:tcW w:w="255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722C8" w:rsidRDefault="002722C8" w:rsidP="00B10433">
            <w:pPr>
              <w:bidi/>
              <w:spacing w:after="0" w:line="240" w:lineRule="auto"/>
              <w:jc w:val="right"/>
              <w:rPr>
                <w:rFonts w:ascii="Times New Roman" w:hAnsi="Times New Roman" w:cs="Times New Roman"/>
                <w:color w:val="FFFFFF" w:themeColor="background1"/>
                <w:sz w:val="20"/>
                <w:szCs w:val="20"/>
                <w:lang w:bidi="fa-IR"/>
              </w:rPr>
            </w:pPr>
            <w:r>
              <w:rPr>
                <w:rFonts w:ascii="Times New Roman" w:hAnsi="Times New Roman" w:cs="Times New Roman"/>
                <w:color w:val="FFFFFF" w:themeColor="background1"/>
                <w:sz w:val="20"/>
                <w:szCs w:val="20"/>
                <w:lang w:bidi="fa-IR"/>
              </w:rPr>
              <w:t>Sex</w:t>
            </w:r>
          </w:p>
        </w:tc>
      </w:tr>
      <w:tr w:rsidR="002722C8" w:rsidTr="002722C8">
        <w:trPr>
          <w:trHeight w:val="567"/>
          <w:jc w:val="center"/>
        </w:trPr>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722C8" w:rsidRDefault="002722C8" w:rsidP="00B10433">
            <w:pPr>
              <w:bidi/>
              <w:spacing w:after="0" w:line="276" w:lineRule="auto"/>
              <w:jc w:val="center"/>
              <w:rPr>
                <w:rFonts w:ascii="Times New Roman" w:hAnsi="Times New Roman" w:cs="Times New Roman"/>
                <w:sz w:val="20"/>
                <w:szCs w:val="20"/>
                <w:rtl/>
                <w:lang w:bidi="fa-IR"/>
              </w:rPr>
            </w:pPr>
            <w:bookmarkStart w:id="0" w:name="_GoBack" w:colFirst="2" w:colLast="2"/>
            <w:r>
              <w:rPr>
                <w:rFonts w:ascii="Times New Roman" w:hAnsi="Times New Roman" w:cs="Times New Roman"/>
                <w:sz w:val="20"/>
                <w:szCs w:val="20"/>
                <w:lang w:bidi="fa-IR"/>
              </w:rPr>
              <w:t>Yes: 18 (18.6 %)</w:t>
            </w:r>
          </w:p>
          <w:p w:rsidR="002722C8" w:rsidRDefault="002722C8" w:rsidP="00B10433">
            <w:pPr>
              <w:bidi/>
              <w:spacing w:after="0" w:line="276"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No: 79 (81/4 %)</w:t>
            </w:r>
          </w:p>
        </w:tc>
        <w:tc>
          <w:tcPr>
            <w:tcW w:w="255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722C8" w:rsidRDefault="002722C8" w:rsidP="00B10433">
            <w:pPr>
              <w:bidi/>
              <w:spacing w:after="0" w:line="240" w:lineRule="auto"/>
              <w:jc w:val="right"/>
              <w:rPr>
                <w:rFonts w:ascii="Times New Roman" w:hAnsi="Times New Roman" w:cs="Times New Roman"/>
                <w:color w:val="FFFFFF" w:themeColor="background1"/>
                <w:sz w:val="20"/>
                <w:szCs w:val="20"/>
                <w:lang w:bidi="fa-IR"/>
              </w:rPr>
            </w:pPr>
            <w:r>
              <w:rPr>
                <w:rFonts w:ascii="Times New Roman" w:hAnsi="Times New Roman" w:cs="Times New Roman"/>
                <w:color w:val="FFFFFF" w:themeColor="background1"/>
                <w:sz w:val="20"/>
                <w:szCs w:val="20"/>
                <w:lang w:bidi="fa-IR"/>
              </w:rPr>
              <w:t>Previous abdominal surgery</w:t>
            </w:r>
          </w:p>
        </w:tc>
      </w:tr>
      <w:bookmarkEnd w:id="0"/>
      <w:tr w:rsidR="002722C8" w:rsidTr="002722C8">
        <w:trPr>
          <w:trHeight w:val="567"/>
          <w:jc w:val="center"/>
        </w:trPr>
        <w:tc>
          <w:tcPr>
            <w:tcW w:w="26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2722C8" w:rsidRDefault="002722C8" w:rsidP="00B10433">
            <w:pPr>
              <w:bidi/>
              <w:spacing w:after="0" w:line="276"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TPN: 5 (5/2 %)</w:t>
            </w:r>
          </w:p>
          <w:p w:rsidR="002722C8" w:rsidRDefault="002722C8" w:rsidP="00B10433">
            <w:pPr>
              <w:bidi/>
              <w:spacing w:after="0" w:line="276"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NG tube: 92 (94/8 %)</w:t>
            </w:r>
          </w:p>
        </w:tc>
        <w:tc>
          <w:tcPr>
            <w:tcW w:w="255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2722C8" w:rsidRDefault="002722C8" w:rsidP="00B10433">
            <w:pPr>
              <w:bidi/>
              <w:spacing w:after="0" w:line="240" w:lineRule="auto"/>
              <w:jc w:val="right"/>
              <w:rPr>
                <w:rFonts w:ascii="Times New Roman" w:hAnsi="Times New Roman" w:cs="Times New Roman"/>
                <w:color w:val="FFFFFF" w:themeColor="background1"/>
                <w:sz w:val="20"/>
                <w:szCs w:val="20"/>
                <w:lang w:bidi="fa-IR"/>
              </w:rPr>
            </w:pPr>
            <w:r>
              <w:rPr>
                <w:rFonts w:ascii="Times New Roman" w:hAnsi="Times New Roman" w:cs="Times New Roman"/>
                <w:color w:val="FFFFFF" w:themeColor="background1"/>
                <w:sz w:val="20"/>
                <w:szCs w:val="20"/>
                <w:lang w:bidi="fa-IR"/>
              </w:rPr>
              <w:t>Previous feeding method</w:t>
            </w:r>
          </w:p>
        </w:tc>
      </w:tr>
    </w:tbl>
    <w:p w:rsidR="002722C8" w:rsidRDefault="002722C8" w:rsidP="002722C8">
      <w:pPr>
        <w:spacing w:line="360" w:lineRule="auto"/>
        <w:ind w:hanging="1"/>
        <w:jc w:val="center"/>
        <w:rPr>
          <w:rFonts w:ascii="Times New Roman" w:hAnsi="Times New Roman" w:cs="B Nazanin"/>
          <w:sz w:val="20"/>
          <w:szCs w:val="24"/>
        </w:rPr>
      </w:pPr>
    </w:p>
    <w:p w:rsidR="002722C8" w:rsidRPr="002C22BA" w:rsidRDefault="002722C8" w:rsidP="002722C8">
      <w:pPr>
        <w:spacing w:after="0" w:line="456" w:lineRule="auto"/>
        <w:jc w:val="both"/>
        <w:outlineLvl w:val="0"/>
        <w:rPr>
          <w:rFonts w:asciiTheme="majorBidi" w:eastAsia="Times New Roman" w:hAnsiTheme="majorBidi" w:cstheme="majorBidi"/>
          <w:b/>
          <w:bCs/>
          <w:kern w:val="36"/>
          <w:sz w:val="24"/>
          <w:szCs w:val="24"/>
        </w:rPr>
      </w:pPr>
      <w:r w:rsidRPr="002C22BA">
        <w:rPr>
          <w:rFonts w:asciiTheme="majorBidi" w:eastAsia="Times New Roman" w:hAnsiTheme="majorBidi" w:cstheme="majorBidi"/>
          <w:b/>
          <w:bCs/>
          <w:kern w:val="36"/>
          <w:sz w:val="24"/>
          <w:szCs w:val="24"/>
        </w:rPr>
        <w:t>Indications:</w:t>
      </w:r>
    </w:p>
    <w:p w:rsidR="002722C8" w:rsidRDefault="002722C8" w:rsidP="002722C8">
      <w:pPr>
        <w:spacing w:after="0" w:line="456"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Based</w:t>
      </w:r>
      <w:r w:rsidRPr="002C22BA">
        <w:rPr>
          <w:rFonts w:asciiTheme="majorBidi" w:eastAsia="Times New Roman" w:hAnsiTheme="majorBidi" w:cstheme="majorBidi"/>
          <w:kern w:val="36"/>
          <w:sz w:val="24"/>
          <w:szCs w:val="24"/>
        </w:rPr>
        <w:t xml:space="preserve"> on figure 1,</w:t>
      </w:r>
      <w:r>
        <w:rPr>
          <w:rFonts w:asciiTheme="majorBidi" w:eastAsia="Times New Roman" w:hAnsiTheme="majorBidi" w:cstheme="majorBidi"/>
          <w:kern w:val="36"/>
          <w:sz w:val="24"/>
          <w:szCs w:val="24"/>
        </w:rPr>
        <w:t xml:space="preserve"> which shows the distribution and frequency of the underlying diseases, cerebrovascular accidents (CVA) was the main reason for referral in 52% (53.6) of the patients. Head and neck trauma was the reason in 32 cases (33%), head and neck tumors in 6 cases (6.2%), ischemic encephalopathy in 5 cases (5.2%), and burnings (head trauma) was the reason in</w:t>
      </w:r>
      <w:r>
        <w:rPr>
          <w:rFonts w:asciiTheme="majorBidi" w:eastAsia="Times New Roman" w:hAnsiTheme="majorBidi" w:cstheme="majorBidi"/>
          <w:vanish/>
          <w:kern w:val="36"/>
          <w:sz w:val="24"/>
          <w:szCs w:val="24"/>
        </w:rPr>
        <w:t>uboblems are compoundeddoughi h</w:t>
      </w:r>
      <w:r>
        <w:rPr>
          <w:rFonts w:asciiTheme="majorBidi" w:eastAsia="Times New Roman" w:hAnsiTheme="majorBidi" w:cstheme="majorBidi"/>
          <w:kern w:val="36"/>
          <w:sz w:val="24"/>
          <w:szCs w:val="24"/>
        </w:rPr>
        <w:t xml:space="preserve"> 2 cases (2.1%) who were referred to the hospital for PEG tube placement.</w:t>
      </w:r>
    </w:p>
    <w:p w:rsidR="002C22BA" w:rsidRDefault="002C22BA" w:rsidP="002722C8">
      <w:pPr>
        <w:spacing w:after="0" w:line="456" w:lineRule="auto"/>
        <w:jc w:val="both"/>
        <w:outlineLvl w:val="0"/>
        <w:rPr>
          <w:rFonts w:asciiTheme="majorBidi" w:eastAsia="Times New Roman" w:hAnsiTheme="majorBidi" w:cstheme="majorBidi"/>
          <w:kern w:val="36"/>
          <w:sz w:val="24"/>
          <w:szCs w:val="24"/>
        </w:rPr>
      </w:pPr>
    </w:p>
    <w:p w:rsidR="002C22BA" w:rsidRDefault="002C22BA" w:rsidP="002722C8">
      <w:pPr>
        <w:spacing w:after="0" w:line="456" w:lineRule="auto"/>
        <w:jc w:val="both"/>
        <w:outlineLvl w:val="0"/>
        <w:rPr>
          <w:rFonts w:asciiTheme="majorBidi" w:eastAsia="Times New Roman" w:hAnsiTheme="majorBidi" w:cstheme="majorBidi"/>
          <w:kern w:val="36"/>
          <w:sz w:val="24"/>
          <w:szCs w:val="24"/>
        </w:rPr>
      </w:pPr>
    </w:p>
    <w:p w:rsidR="002C22BA" w:rsidRDefault="002C22BA" w:rsidP="002722C8">
      <w:pPr>
        <w:spacing w:after="0" w:line="456" w:lineRule="auto"/>
        <w:jc w:val="both"/>
        <w:outlineLvl w:val="0"/>
        <w:rPr>
          <w:rFonts w:asciiTheme="majorBidi" w:eastAsia="Times New Roman" w:hAnsiTheme="majorBidi" w:cstheme="majorBidi"/>
          <w:kern w:val="36"/>
          <w:sz w:val="24"/>
          <w:szCs w:val="24"/>
        </w:rPr>
      </w:pPr>
      <w:r>
        <w:rPr>
          <w:noProof/>
          <w:lang w:bidi="fa-IR"/>
        </w:rPr>
        <w:lastRenderedPageBreak/>
        <w:drawing>
          <wp:anchor distT="0" distB="0" distL="114300" distR="114300" simplePos="0" relativeHeight="251657216" behindDoc="0" locked="0" layoutInCell="1" allowOverlap="1" wp14:anchorId="1FD703DB" wp14:editId="16BBAE3F">
            <wp:simplePos x="0" y="0"/>
            <wp:positionH relativeFrom="margin">
              <wp:posOffset>718820</wp:posOffset>
            </wp:positionH>
            <wp:positionV relativeFrom="paragraph">
              <wp:posOffset>-622935</wp:posOffset>
            </wp:positionV>
            <wp:extent cx="3787140" cy="2280285"/>
            <wp:effectExtent l="0" t="0" r="381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b="11684"/>
                    <a:stretch>
                      <a:fillRect/>
                    </a:stretch>
                  </pic:blipFill>
                  <pic:spPr bwMode="auto">
                    <a:xfrm>
                      <a:off x="0" y="0"/>
                      <a:ext cx="3787140" cy="2280285"/>
                    </a:xfrm>
                    <a:prstGeom prst="rect">
                      <a:avLst/>
                    </a:prstGeom>
                    <a:noFill/>
                  </pic:spPr>
                </pic:pic>
              </a:graphicData>
            </a:graphic>
            <wp14:sizeRelH relativeFrom="page">
              <wp14:pctWidth>0</wp14:pctWidth>
            </wp14:sizeRelH>
            <wp14:sizeRelV relativeFrom="page">
              <wp14:pctHeight>0</wp14:pctHeight>
            </wp14:sizeRelV>
          </wp:anchor>
        </w:drawing>
      </w:r>
    </w:p>
    <w:p w:rsidR="002C22BA" w:rsidRDefault="002C22BA" w:rsidP="002722C8">
      <w:pPr>
        <w:spacing w:after="0" w:line="456" w:lineRule="auto"/>
        <w:jc w:val="both"/>
        <w:outlineLvl w:val="0"/>
        <w:rPr>
          <w:rFonts w:asciiTheme="majorBidi" w:eastAsia="Times New Roman" w:hAnsiTheme="majorBidi" w:cstheme="majorBidi"/>
          <w:kern w:val="36"/>
          <w:sz w:val="24"/>
          <w:szCs w:val="24"/>
        </w:rPr>
      </w:pPr>
    </w:p>
    <w:p w:rsidR="002C22BA" w:rsidRDefault="002C22BA" w:rsidP="002722C8">
      <w:pPr>
        <w:spacing w:after="0" w:line="456" w:lineRule="auto"/>
        <w:jc w:val="both"/>
        <w:outlineLvl w:val="0"/>
        <w:rPr>
          <w:rFonts w:asciiTheme="majorBidi" w:eastAsia="Times New Roman" w:hAnsiTheme="majorBidi" w:cstheme="majorBidi"/>
          <w:kern w:val="36"/>
          <w:sz w:val="24"/>
          <w:szCs w:val="24"/>
        </w:rPr>
      </w:pPr>
    </w:p>
    <w:p w:rsidR="002C22BA" w:rsidRDefault="002C22BA" w:rsidP="002722C8">
      <w:pPr>
        <w:spacing w:after="0" w:line="456" w:lineRule="auto"/>
        <w:jc w:val="both"/>
        <w:outlineLvl w:val="0"/>
        <w:rPr>
          <w:rFonts w:asciiTheme="majorBidi" w:eastAsia="Times New Roman" w:hAnsiTheme="majorBidi" w:cstheme="majorBidi"/>
          <w:kern w:val="36"/>
          <w:sz w:val="24"/>
          <w:szCs w:val="24"/>
        </w:rPr>
      </w:pP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Pr="002C22BA" w:rsidRDefault="002722C8" w:rsidP="002C22BA">
      <w:pPr>
        <w:spacing w:line="360" w:lineRule="auto"/>
        <w:jc w:val="center"/>
        <w:rPr>
          <w:rFonts w:ascii="Times New Roman" w:hAnsi="Times New Roman" w:cs="B Nazanin"/>
          <w:b/>
          <w:bCs/>
          <w:sz w:val="20"/>
          <w:szCs w:val="20"/>
        </w:rPr>
      </w:pPr>
      <w:r w:rsidRPr="002C22BA">
        <w:rPr>
          <w:rFonts w:ascii="Times New Roman" w:hAnsi="Times New Roman" w:cs="B Nazanin"/>
          <w:b/>
          <w:bCs/>
          <w:color w:val="00B0F0"/>
          <w:sz w:val="20"/>
          <w:szCs w:val="20"/>
        </w:rPr>
        <w:t>Fig</w:t>
      </w:r>
      <w:r w:rsidR="002C22BA" w:rsidRPr="002C22BA">
        <w:rPr>
          <w:rFonts w:ascii="Times New Roman" w:hAnsi="Times New Roman" w:cs="B Nazanin"/>
          <w:b/>
          <w:bCs/>
          <w:color w:val="00B0F0"/>
          <w:sz w:val="20"/>
          <w:szCs w:val="20"/>
        </w:rPr>
        <w:t>.</w:t>
      </w:r>
      <w:r w:rsidRPr="002C22BA">
        <w:rPr>
          <w:rFonts w:ascii="Times New Roman" w:hAnsi="Times New Roman" w:cs="B Nazanin"/>
          <w:b/>
          <w:bCs/>
          <w:color w:val="00B0F0"/>
          <w:sz w:val="20"/>
          <w:szCs w:val="20"/>
        </w:rPr>
        <w:t xml:space="preserve"> 1:</w:t>
      </w:r>
      <w:r w:rsidRPr="002C22BA">
        <w:rPr>
          <w:rFonts w:ascii="Times New Roman" w:hAnsi="Times New Roman" w:cs="B Nazanin"/>
          <w:b/>
          <w:bCs/>
          <w:sz w:val="20"/>
          <w:szCs w:val="20"/>
        </w:rPr>
        <w:t xml:space="preserve"> Indications for PEG tube placement. Data are presented as frequency.</w:t>
      </w:r>
    </w:p>
    <w:p w:rsidR="002722C8" w:rsidRPr="002C22BA" w:rsidRDefault="002722C8" w:rsidP="002722C8">
      <w:pPr>
        <w:spacing w:after="0" w:line="456" w:lineRule="auto"/>
        <w:jc w:val="both"/>
        <w:outlineLvl w:val="0"/>
        <w:rPr>
          <w:rFonts w:asciiTheme="majorBidi" w:eastAsia="Times New Roman" w:hAnsiTheme="majorBidi" w:cstheme="majorBidi"/>
          <w:b/>
          <w:bCs/>
          <w:kern w:val="36"/>
          <w:sz w:val="24"/>
          <w:szCs w:val="24"/>
        </w:rPr>
      </w:pPr>
      <w:r w:rsidRPr="002C22BA">
        <w:rPr>
          <w:rFonts w:asciiTheme="majorBidi" w:eastAsia="Times New Roman" w:hAnsiTheme="majorBidi" w:cstheme="majorBidi"/>
          <w:b/>
          <w:bCs/>
          <w:kern w:val="36"/>
          <w:sz w:val="24"/>
          <w:szCs w:val="24"/>
        </w:rPr>
        <w:t>Complications:</w:t>
      </w:r>
    </w:p>
    <w:p w:rsidR="002722C8" w:rsidRPr="002C22BA" w:rsidRDefault="002722C8" w:rsidP="002722C8">
      <w:pPr>
        <w:spacing w:after="0" w:line="456" w:lineRule="auto"/>
        <w:jc w:val="both"/>
        <w:outlineLvl w:val="0"/>
        <w:rPr>
          <w:rFonts w:asciiTheme="majorBidi" w:eastAsia="Times New Roman" w:hAnsiTheme="majorBidi" w:cstheme="majorBidi"/>
          <w:kern w:val="36"/>
          <w:sz w:val="24"/>
          <w:szCs w:val="24"/>
        </w:rPr>
      </w:pPr>
      <w:r>
        <w:rPr>
          <w:noProof/>
          <w:lang w:bidi="fa-IR"/>
        </w:rPr>
        <w:drawing>
          <wp:anchor distT="0" distB="0" distL="114300" distR="114300" simplePos="0" relativeHeight="251658240" behindDoc="0" locked="0" layoutInCell="1" allowOverlap="1" wp14:anchorId="561B4831" wp14:editId="6FAD7643">
            <wp:simplePos x="0" y="0"/>
            <wp:positionH relativeFrom="margin">
              <wp:align>center</wp:align>
            </wp:positionH>
            <wp:positionV relativeFrom="paragraph">
              <wp:posOffset>1659255</wp:posOffset>
            </wp:positionV>
            <wp:extent cx="3570605" cy="23558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0605" cy="235585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Bidi" w:eastAsia="Times New Roman" w:hAnsiTheme="majorBidi" w:cstheme="majorBidi"/>
          <w:kern w:val="36"/>
          <w:sz w:val="24"/>
          <w:szCs w:val="24"/>
        </w:rPr>
        <w:t xml:space="preserve">Complications caused in these patients after PEG tube </w:t>
      </w:r>
      <w:proofErr w:type="gramStart"/>
      <w:r>
        <w:rPr>
          <w:rFonts w:asciiTheme="majorBidi" w:eastAsia="Times New Roman" w:hAnsiTheme="majorBidi" w:cstheme="majorBidi"/>
          <w:kern w:val="36"/>
          <w:sz w:val="24"/>
          <w:szCs w:val="24"/>
        </w:rPr>
        <w:t>placement were</w:t>
      </w:r>
      <w:proofErr w:type="gramEnd"/>
      <w:r>
        <w:rPr>
          <w:rFonts w:asciiTheme="majorBidi" w:eastAsia="Times New Roman" w:hAnsiTheme="majorBidi" w:cstheme="majorBidi"/>
          <w:kern w:val="36"/>
          <w:sz w:val="24"/>
          <w:szCs w:val="24"/>
        </w:rPr>
        <w:t xml:space="preserve"> generally observed in 20 cases (20.6%). Wound infection was observed in eight cases (8.2%), aspiration in three cases (3.1%), bleeding in three cases (3.1%), external leakage in two cases (2.1%), unplanned removal in two cases (2.1%), subcutaneous abscess in one patient (1%), and recurrent </w:t>
      </w:r>
      <w:r w:rsidRPr="002C22BA">
        <w:rPr>
          <w:rFonts w:asciiTheme="majorBidi" w:eastAsia="Times New Roman" w:hAnsiTheme="majorBidi" w:cstheme="majorBidi"/>
          <w:kern w:val="36"/>
          <w:sz w:val="24"/>
          <w:szCs w:val="24"/>
        </w:rPr>
        <w:t>vomiting in one patient (1%). Figure 2 shows the related information.</w:t>
      </w:r>
    </w:p>
    <w:p w:rsidR="002722C8" w:rsidRDefault="002722C8" w:rsidP="002722C8">
      <w:pPr>
        <w:spacing w:after="0" w:line="456" w:lineRule="auto"/>
        <w:jc w:val="both"/>
        <w:outlineLvl w:val="0"/>
        <w:rPr>
          <w:rFonts w:asciiTheme="majorBidi" w:eastAsia="Times New Roman" w:hAnsiTheme="majorBidi" w:cstheme="majorBidi"/>
          <w:kern w:val="36"/>
          <w:sz w:val="24"/>
          <w:szCs w:val="24"/>
        </w:rPr>
      </w:pPr>
    </w:p>
    <w:p w:rsidR="002722C8" w:rsidRDefault="002722C8" w:rsidP="002722C8">
      <w:pPr>
        <w:spacing w:after="0" w:line="456" w:lineRule="auto"/>
        <w:jc w:val="both"/>
        <w:outlineLvl w:val="0"/>
        <w:rPr>
          <w:rFonts w:asciiTheme="majorBidi" w:eastAsia="Times New Roman" w:hAnsiTheme="majorBidi" w:cstheme="majorBidi"/>
          <w:kern w:val="36"/>
          <w:sz w:val="24"/>
          <w:szCs w:val="24"/>
        </w:rPr>
      </w:pPr>
    </w:p>
    <w:p w:rsidR="002722C8" w:rsidRDefault="002722C8" w:rsidP="002722C8">
      <w:pPr>
        <w:spacing w:after="0" w:line="456" w:lineRule="auto"/>
        <w:jc w:val="both"/>
        <w:outlineLvl w:val="0"/>
        <w:rPr>
          <w:rFonts w:asciiTheme="majorBidi" w:eastAsia="Times New Roman" w:hAnsiTheme="majorBidi" w:cstheme="majorBidi"/>
          <w:kern w:val="36"/>
          <w:sz w:val="24"/>
          <w:szCs w:val="24"/>
        </w:rPr>
      </w:pP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Default="002722C8" w:rsidP="002722C8">
      <w:pPr>
        <w:spacing w:after="0" w:line="480" w:lineRule="auto"/>
        <w:jc w:val="both"/>
        <w:outlineLvl w:val="0"/>
        <w:rPr>
          <w:rFonts w:asciiTheme="majorBidi" w:eastAsia="Times New Roman" w:hAnsiTheme="majorBidi" w:cstheme="majorBidi"/>
          <w:kern w:val="36"/>
          <w:sz w:val="20"/>
          <w:szCs w:val="20"/>
        </w:rPr>
      </w:pPr>
    </w:p>
    <w:p w:rsidR="002722C8" w:rsidRPr="002C22BA" w:rsidRDefault="002722C8" w:rsidP="002C22BA">
      <w:pPr>
        <w:spacing w:line="360" w:lineRule="auto"/>
        <w:jc w:val="center"/>
        <w:rPr>
          <w:rFonts w:ascii="Times New Roman" w:hAnsi="Times New Roman" w:cs="B Nazanin"/>
          <w:b/>
          <w:bCs/>
          <w:sz w:val="20"/>
          <w:szCs w:val="20"/>
        </w:rPr>
      </w:pPr>
      <w:r w:rsidRPr="002C22BA">
        <w:rPr>
          <w:rFonts w:ascii="Times New Roman" w:hAnsi="Times New Roman" w:cs="B Nazanin"/>
          <w:b/>
          <w:bCs/>
          <w:color w:val="00B0F0"/>
          <w:sz w:val="20"/>
          <w:szCs w:val="20"/>
        </w:rPr>
        <w:t>Fig</w:t>
      </w:r>
      <w:r w:rsidR="002C22BA" w:rsidRPr="002C22BA">
        <w:rPr>
          <w:rFonts w:ascii="Times New Roman" w:hAnsi="Times New Roman" w:cs="B Nazanin"/>
          <w:b/>
          <w:bCs/>
          <w:color w:val="00B0F0"/>
          <w:sz w:val="20"/>
          <w:szCs w:val="20"/>
        </w:rPr>
        <w:t>.</w:t>
      </w:r>
      <w:r w:rsidRPr="002C22BA">
        <w:rPr>
          <w:rFonts w:ascii="Times New Roman" w:hAnsi="Times New Roman" w:cs="B Nazanin"/>
          <w:b/>
          <w:bCs/>
          <w:color w:val="00B0F0"/>
          <w:sz w:val="20"/>
          <w:szCs w:val="20"/>
        </w:rPr>
        <w:t>2:</w:t>
      </w:r>
      <w:r w:rsidRPr="002C22BA">
        <w:rPr>
          <w:rFonts w:ascii="Times New Roman" w:hAnsi="Times New Roman" w:cs="B Nazanin"/>
          <w:b/>
          <w:bCs/>
          <w:sz w:val="20"/>
          <w:szCs w:val="20"/>
        </w:rPr>
        <w:t xml:space="preserve"> PEG tube related complications. Data are presented as frequency.</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In </w:t>
      </w:r>
      <w:r w:rsidRPr="002C22BA">
        <w:rPr>
          <w:rFonts w:asciiTheme="majorBidi" w:eastAsia="Times New Roman" w:hAnsiTheme="majorBidi" w:cstheme="majorBidi"/>
          <w:kern w:val="36"/>
          <w:sz w:val="24"/>
          <w:szCs w:val="24"/>
        </w:rPr>
        <w:t xml:space="preserve">table 2, </w:t>
      </w:r>
      <w:r>
        <w:rPr>
          <w:rFonts w:asciiTheme="majorBidi" w:eastAsia="Times New Roman" w:hAnsiTheme="majorBidi" w:cstheme="majorBidi"/>
          <w:kern w:val="36"/>
          <w:sz w:val="24"/>
          <w:szCs w:val="24"/>
        </w:rPr>
        <w:t>complications after PEG tube placement were divided, based on the time of occurrence, into two categories: Early (less than a month) and Late (after a month). Out of the 20 complications, 10 patients suffered from early complications and 10 patients suffered from late complications.</w:t>
      </w:r>
    </w:p>
    <w:p w:rsidR="002C22BA" w:rsidRPr="002C22BA" w:rsidRDefault="002C22BA" w:rsidP="002C22BA">
      <w:pPr>
        <w:spacing w:after="0" w:line="360" w:lineRule="auto"/>
        <w:ind w:hanging="1"/>
        <w:jc w:val="center"/>
        <w:rPr>
          <w:rFonts w:ascii="Times New Roman" w:hAnsi="Times New Roman" w:cs="B Nazanin"/>
          <w:b/>
          <w:bCs/>
          <w:sz w:val="18"/>
          <w:szCs w:val="18"/>
        </w:rPr>
      </w:pPr>
      <w:r w:rsidRPr="002C22BA">
        <w:rPr>
          <w:rFonts w:ascii="Times New Roman" w:hAnsi="Times New Roman" w:cs="B Nazanin"/>
          <w:b/>
          <w:bCs/>
          <w:color w:val="00B0F0"/>
          <w:sz w:val="18"/>
          <w:szCs w:val="18"/>
        </w:rPr>
        <w:lastRenderedPageBreak/>
        <w:t>Table 2:</w:t>
      </w:r>
      <w:r w:rsidRPr="002C22BA">
        <w:rPr>
          <w:rFonts w:ascii="Times New Roman" w:hAnsi="Times New Roman" w:cs="B Nazanin"/>
          <w:b/>
          <w:bCs/>
          <w:sz w:val="18"/>
          <w:szCs w:val="18"/>
        </w:rPr>
        <w:t xml:space="preserve"> Early and late complications after PEG tube placement. Data are presented as frequency (percentage).</w:t>
      </w:r>
    </w:p>
    <w:p w:rsidR="002C22BA" w:rsidRDefault="002C22BA" w:rsidP="002722C8">
      <w:pPr>
        <w:spacing w:after="0" w:line="480" w:lineRule="auto"/>
        <w:jc w:val="both"/>
        <w:outlineLvl w:val="0"/>
        <w:rPr>
          <w:rFonts w:asciiTheme="majorBidi" w:eastAsia="Times New Roman" w:hAnsiTheme="majorBidi" w:cstheme="majorBidi"/>
          <w:kern w:val="36"/>
          <w:sz w:val="24"/>
          <w:szCs w:val="24"/>
        </w:rPr>
      </w:pPr>
    </w:p>
    <w:tbl>
      <w:tblPr>
        <w:tblStyle w:val="GridTable5DarkAccent3"/>
        <w:bidiVisual/>
        <w:tblW w:w="0" w:type="auto"/>
        <w:jc w:val="center"/>
        <w:tblLook w:val="0520" w:firstRow="1" w:lastRow="0" w:firstColumn="0" w:lastColumn="1" w:noHBand="0" w:noVBand="1"/>
      </w:tblPr>
      <w:tblGrid>
        <w:gridCol w:w="1134"/>
        <w:gridCol w:w="1701"/>
        <w:gridCol w:w="1701"/>
        <w:gridCol w:w="1985"/>
      </w:tblGrid>
      <w:tr w:rsidR="002722C8" w:rsidTr="002722C8">
        <w:trPr>
          <w:cnfStyle w:val="100000000000" w:firstRow="1" w:lastRow="0" w:firstColumn="0" w:lastColumn="0" w:oddVBand="0" w:evenVBand="0" w:oddHBand="0" w:evenHBand="0" w:firstRowFirstColumn="0" w:firstRowLastColumn="0" w:lastRowFirstColumn="0" w:lastRowLastColumn="0"/>
          <w:trHeight w:val="275"/>
          <w:jc w:val="center"/>
        </w:trPr>
        <w:tc>
          <w:tcPr>
            <w:tcW w:w="1134" w:type="dxa"/>
            <w:vMerge w:val="restart"/>
            <w:tcBorders>
              <w:bottom w:val="single" w:sz="4" w:space="0" w:color="FFFFFF" w:themeColor="background1"/>
              <w:right w:val="none" w:sz="0" w:space="0" w:color="auto"/>
            </w:tcBorders>
            <w:vAlign w:val="center"/>
          </w:tcPr>
          <w:p w:rsidR="002722C8" w:rsidRDefault="002722C8">
            <w:pPr>
              <w:bidi/>
              <w:spacing w:after="0" w:line="240" w:lineRule="auto"/>
              <w:jc w:val="center"/>
              <w:rPr>
                <w:rFonts w:ascii="Times New Roman" w:hAnsi="Times New Roman" w:cs="Times New Roman"/>
                <w:sz w:val="20"/>
                <w:szCs w:val="20"/>
                <w:rtl/>
                <w:lang w:bidi="fa-IR"/>
              </w:rPr>
            </w:pPr>
            <w:r>
              <w:rPr>
                <w:rFonts w:ascii="Times New Roman" w:hAnsi="Times New Roman" w:cs="Times New Roman"/>
                <w:sz w:val="20"/>
                <w:szCs w:val="20"/>
                <w:lang w:bidi="fa-IR"/>
              </w:rPr>
              <w:t>Total</w:t>
            </w:r>
          </w:p>
          <w:p w:rsidR="002722C8" w:rsidRDefault="002722C8">
            <w:pPr>
              <w:bidi/>
              <w:spacing w:after="0" w:line="240" w:lineRule="auto"/>
              <w:jc w:val="center"/>
              <w:rPr>
                <w:rFonts w:ascii="Times New Roman" w:hAnsi="Times New Roman" w:cs="Times New Roman"/>
                <w:sz w:val="20"/>
                <w:szCs w:val="20"/>
                <w:lang w:bidi="fa-IR"/>
              </w:rPr>
            </w:pPr>
          </w:p>
          <w:p w:rsidR="002722C8" w:rsidRDefault="002722C8">
            <w:pPr>
              <w:bidi/>
              <w:spacing w:after="0" w:line="240" w:lineRule="auto"/>
              <w:jc w:val="center"/>
              <w:rPr>
                <w:rFonts w:ascii="Times New Roman" w:hAnsi="Times New Roman" w:cs="Times New Roman"/>
                <w:b w:val="0"/>
                <w:bCs w:val="0"/>
                <w:sz w:val="20"/>
                <w:szCs w:val="20"/>
                <w:lang w:bidi="fa-IR"/>
              </w:rPr>
            </w:pPr>
            <w:proofErr w:type="gramStart"/>
            <w:r>
              <w:rPr>
                <w:rFonts w:ascii="Times New Roman" w:hAnsi="Times New Roman" w:cs="Times New Roman"/>
                <w:b w:val="0"/>
                <w:bCs w:val="0"/>
                <w:sz w:val="20"/>
                <w:szCs w:val="20"/>
                <w:lang w:bidi="fa-IR"/>
              </w:rPr>
              <w:t>n</w:t>
            </w:r>
            <w:proofErr w:type="gramEnd"/>
            <w:r>
              <w:rPr>
                <w:rFonts w:ascii="Times New Roman" w:hAnsi="Times New Roman" w:cs="Times New Roman"/>
                <w:b w:val="0"/>
                <w:bCs w:val="0"/>
                <w:sz w:val="20"/>
                <w:szCs w:val="20"/>
                <w:lang w:bidi="fa-IR"/>
              </w:rPr>
              <w:t xml:space="preserve"> (%)</w:t>
            </w:r>
          </w:p>
        </w:tc>
        <w:tc>
          <w:tcPr>
            <w:tcW w:w="3402" w:type="dxa"/>
            <w:gridSpan w:val="2"/>
            <w:tcBorders>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bidi/>
              <w:spacing w:after="0" w:line="240" w:lineRule="auto"/>
              <w:jc w:val="center"/>
              <w:rPr>
                <w:rFonts w:ascii="Times New Roman" w:hAnsi="Times New Roman" w:cs="B Nazanin"/>
                <w:color w:val="000000" w:themeColor="text1"/>
                <w:sz w:val="20"/>
                <w:szCs w:val="20"/>
                <w:highlight w:val="yellow"/>
                <w:lang w:bidi="fa-IR"/>
              </w:rPr>
            </w:pPr>
            <w:r>
              <w:rPr>
                <w:rFonts w:ascii="Times New Roman" w:hAnsi="Times New Roman" w:cs="B Nazanin"/>
                <w:sz w:val="20"/>
                <w:szCs w:val="20"/>
                <w:lang w:bidi="fa-IR"/>
              </w:rPr>
              <w:t>Time</w:t>
            </w:r>
          </w:p>
        </w:tc>
        <w:tc>
          <w:tcPr>
            <w:cnfStyle w:val="000100000000" w:firstRow="0" w:lastRow="0" w:firstColumn="0" w:lastColumn="1" w:oddVBand="0" w:evenVBand="0" w:oddHBand="0" w:evenHBand="0" w:firstRowFirstColumn="0" w:firstRowLastColumn="0" w:lastRowFirstColumn="0" w:lastRowLastColumn="0"/>
            <w:tcW w:w="1985" w:type="dxa"/>
            <w:vMerge w:val="restart"/>
            <w:tcBorders>
              <w:left w:val="none" w:sz="0" w:space="0" w:color="auto"/>
              <w:bottom w:val="single" w:sz="4" w:space="0" w:color="FFFFFF" w:themeColor="background1"/>
            </w:tcBorders>
            <w:vAlign w:val="center"/>
            <w:hideMark/>
          </w:tcPr>
          <w:p w:rsidR="002722C8" w:rsidRDefault="002722C8">
            <w:pPr>
              <w:bidi/>
              <w:spacing w:after="0" w:line="24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complications</w:t>
            </w:r>
          </w:p>
        </w:tc>
      </w:tr>
      <w:tr w:rsidR="002722C8" w:rsidTr="002722C8">
        <w:trPr>
          <w:cnfStyle w:val="000000100000" w:firstRow="0" w:lastRow="0" w:firstColumn="0" w:lastColumn="0" w:oddVBand="0" w:evenVBand="0" w:oddHBand="1" w:evenHBand="0" w:firstRowFirstColumn="0" w:firstRowLastColumn="0" w:lastRowFirstColumn="0" w:lastRowLastColumn="0"/>
          <w:trHeight w:val="597"/>
          <w:jc w:val="center"/>
        </w:trPr>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spacing w:after="0" w:line="240" w:lineRule="auto"/>
              <w:rPr>
                <w:rFonts w:ascii="Times New Roman" w:hAnsi="Times New Roman" w:cs="Times New Roman"/>
                <w:color w:val="FFFFFF" w:themeColor="background1"/>
                <w:sz w:val="20"/>
                <w:szCs w:val="20"/>
                <w:lang w:bidi="fa-IR"/>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4BC96" w:themeFill="background2" w:themeFillShade="BF"/>
            <w:vAlign w:val="center"/>
            <w:hideMark/>
          </w:tcPr>
          <w:p w:rsidR="002722C8" w:rsidRDefault="002722C8">
            <w:pPr>
              <w:bidi/>
              <w:spacing w:after="0" w:line="240" w:lineRule="auto"/>
              <w:jc w:val="center"/>
              <w:rPr>
                <w:rFonts w:ascii="Times New Roman" w:hAnsi="Times New Roman" w:cs="Times New Roman"/>
                <w:color w:val="FFFFFF" w:themeColor="background1"/>
                <w:sz w:val="20"/>
                <w:szCs w:val="20"/>
                <w:rtl/>
                <w:lang w:bidi="fa-IR"/>
              </w:rPr>
            </w:pPr>
            <w:r>
              <w:rPr>
                <w:rFonts w:ascii="Times New Roman" w:hAnsi="Times New Roman" w:cs="Times New Roman"/>
                <w:color w:val="FFFFFF" w:themeColor="background1"/>
                <w:sz w:val="20"/>
                <w:szCs w:val="20"/>
                <w:lang w:bidi="fa-IR"/>
              </w:rPr>
              <w:t>Late (&gt; 1 month)</w:t>
            </w:r>
          </w:p>
          <w:p w:rsidR="002722C8" w:rsidRDefault="002722C8">
            <w:pPr>
              <w:bidi/>
              <w:spacing w:after="0" w:line="240" w:lineRule="auto"/>
              <w:jc w:val="center"/>
              <w:rPr>
                <w:rFonts w:ascii="Times New Roman" w:hAnsi="Times New Roman" w:cs="Times New Roman"/>
                <w:color w:val="FFFFFF" w:themeColor="background1"/>
                <w:sz w:val="20"/>
                <w:szCs w:val="20"/>
                <w:lang w:bidi="fa-IR"/>
              </w:rPr>
            </w:pPr>
            <w:proofErr w:type="gramStart"/>
            <w:r>
              <w:rPr>
                <w:rFonts w:ascii="Times New Roman" w:hAnsi="Times New Roman" w:cs="Times New Roman"/>
                <w:color w:val="FFFFFF" w:themeColor="background1"/>
                <w:sz w:val="20"/>
                <w:szCs w:val="20"/>
                <w:lang w:bidi="fa-IR"/>
              </w:rPr>
              <w:t>n</w:t>
            </w:r>
            <w:proofErr w:type="gramEnd"/>
            <w:r>
              <w:rPr>
                <w:rFonts w:ascii="Times New Roman" w:hAnsi="Times New Roman" w:cs="Times New Roman"/>
                <w:color w:val="FFFFFF" w:themeColor="background1"/>
                <w:sz w:val="20"/>
                <w:szCs w:val="20"/>
                <w:lang w:bidi="fa-IR"/>
              </w:rPr>
              <w:t xml:space="preserve"> (%)</w:t>
            </w:r>
          </w:p>
        </w:tc>
        <w:tc>
          <w:tcPr>
            <w:tcW w:w="1701" w:type="dxa"/>
            <w:tcBorders>
              <w:top w:val="nil"/>
              <w:left w:val="single" w:sz="4" w:space="0" w:color="FFFFFF" w:themeColor="background1"/>
              <w:bottom w:val="single" w:sz="4" w:space="0" w:color="FFFFFF" w:themeColor="background1"/>
              <w:right w:val="single" w:sz="4" w:space="0" w:color="FFFFFF" w:themeColor="background1"/>
            </w:tcBorders>
            <w:shd w:val="clear" w:color="auto" w:fill="C4BC96" w:themeFill="background2" w:themeFillShade="BF"/>
            <w:vAlign w:val="center"/>
            <w:hideMark/>
          </w:tcPr>
          <w:p w:rsidR="002722C8" w:rsidRDefault="002722C8">
            <w:pPr>
              <w:bidi/>
              <w:spacing w:after="0" w:line="240" w:lineRule="auto"/>
              <w:jc w:val="center"/>
              <w:rPr>
                <w:rFonts w:ascii="Times New Roman" w:hAnsi="Times New Roman" w:cs="Times New Roman"/>
                <w:color w:val="FFFFFF" w:themeColor="background1"/>
                <w:sz w:val="20"/>
                <w:szCs w:val="20"/>
                <w:rtl/>
                <w:lang w:bidi="fa-IR"/>
              </w:rPr>
            </w:pPr>
            <w:r>
              <w:rPr>
                <w:rFonts w:ascii="Times New Roman" w:hAnsi="Times New Roman" w:cs="Times New Roman"/>
                <w:color w:val="FFFFFF" w:themeColor="background1"/>
                <w:sz w:val="20"/>
                <w:szCs w:val="20"/>
                <w:lang w:bidi="fa-IR"/>
              </w:rPr>
              <w:t>Early (&lt; 1 month)</w:t>
            </w:r>
          </w:p>
          <w:p w:rsidR="002722C8" w:rsidRDefault="002722C8">
            <w:pPr>
              <w:bidi/>
              <w:spacing w:after="0" w:line="240" w:lineRule="auto"/>
              <w:jc w:val="center"/>
              <w:rPr>
                <w:rFonts w:ascii="Times New Roman" w:hAnsi="Times New Roman" w:cs="Times New Roman"/>
                <w:color w:val="FFFFFF" w:themeColor="background1"/>
                <w:sz w:val="20"/>
                <w:szCs w:val="20"/>
                <w:lang w:bidi="fa-IR"/>
              </w:rPr>
            </w:pPr>
            <w:proofErr w:type="gramStart"/>
            <w:r>
              <w:rPr>
                <w:rFonts w:ascii="Times New Roman" w:hAnsi="Times New Roman" w:cs="Times New Roman"/>
                <w:color w:val="FFFFFF" w:themeColor="background1"/>
                <w:sz w:val="20"/>
                <w:szCs w:val="20"/>
                <w:lang w:bidi="fa-IR"/>
              </w:rPr>
              <w:t>n</w:t>
            </w:r>
            <w:proofErr w:type="gramEnd"/>
            <w:r>
              <w:rPr>
                <w:rFonts w:ascii="Times New Roman" w:hAnsi="Times New Roman" w:cs="Times New Roman"/>
                <w:color w:val="FFFFFF" w:themeColor="background1"/>
                <w:sz w:val="20"/>
                <w:szCs w:val="20"/>
                <w:lang w:bidi="fa-IR"/>
              </w:rPr>
              <w:t xml:space="preserve"> (%)</w:t>
            </w:r>
          </w:p>
        </w:tc>
        <w:tc>
          <w:tcPr>
            <w:cnfStyle w:val="000100000000" w:firstRow="0" w:lastRow="0" w:firstColumn="0" w:lastColumn="1" w:oddVBand="0" w:evenVBand="0" w:oddHBand="0" w:evenHBand="0" w:firstRowFirstColumn="0" w:firstRowLastColumn="0" w:lastRowFirstColumn="0" w:lastRowLastColumn="0"/>
            <w:tcW w:w="0" w:type="auto"/>
            <w:vMerge/>
            <w:tcBorders>
              <w:top w:val="single" w:sz="4" w:space="0" w:color="FFFFFF" w:themeColor="background1"/>
              <w:bottom w:val="single" w:sz="4" w:space="0" w:color="FFFFFF" w:themeColor="background1"/>
            </w:tcBorders>
            <w:vAlign w:val="center"/>
            <w:hideMark/>
          </w:tcPr>
          <w:p w:rsidR="002722C8" w:rsidRDefault="002722C8">
            <w:pPr>
              <w:spacing w:after="0" w:line="240" w:lineRule="auto"/>
              <w:rPr>
                <w:rFonts w:ascii="Times New Roman" w:hAnsi="Times New Roman" w:cs="Times New Roman"/>
                <w:sz w:val="20"/>
                <w:szCs w:val="20"/>
                <w:lang w:bidi="fa-IR"/>
              </w:rPr>
            </w:pPr>
          </w:p>
        </w:tc>
      </w:tr>
      <w:tr w:rsidR="002722C8" w:rsidTr="002722C8">
        <w:trPr>
          <w:trHeight w:val="340"/>
          <w:jc w:val="cent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8 (40%)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2 (10%)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6 (30%)</w:t>
            </w:r>
          </w:p>
        </w:tc>
        <w:tc>
          <w:tcPr>
            <w:cnfStyle w:val="000100000000" w:firstRow="0" w:lastRow="0" w:firstColumn="0" w:lastColumn="1"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tcBorders>
            <w:vAlign w:val="center"/>
            <w:hideMark/>
          </w:tcPr>
          <w:p w:rsidR="002722C8" w:rsidRDefault="002722C8" w:rsidP="002C22BA">
            <w:pPr>
              <w:bidi/>
              <w:spacing w:after="0" w:line="240" w:lineRule="auto"/>
              <w:jc w:val="right"/>
              <w:rPr>
                <w:rFonts w:ascii="Times New Roman" w:hAnsi="Times New Roman" w:cs="Times New Roman"/>
                <w:b w:val="0"/>
                <w:bCs w:val="0"/>
                <w:sz w:val="20"/>
                <w:szCs w:val="20"/>
                <w:lang w:bidi="fa-IR"/>
              </w:rPr>
            </w:pPr>
            <w:r>
              <w:rPr>
                <w:rFonts w:ascii="Times New Roman" w:hAnsi="Times New Roman" w:cs="Times New Roman"/>
                <w:b w:val="0"/>
                <w:bCs w:val="0"/>
                <w:sz w:val="20"/>
                <w:szCs w:val="20"/>
                <w:lang w:bidi="fa-IR"/>
              </w:rPr>
              <w:t>Wound infection</w:t>
            </w:r>
          </w:p>
        </w:tc>
      </w:tr>
      <w:tr w:rsidR="002722C8" w:rsidTr="002722C8">
        <w:trPr>
          <w:cnfStyle w:val="000000100000" w:firstRow="0" w:lastRow="0" w:firstColumn="0" w:lastColumn="0" w:oddVBand="0" w:evenVBand="0" w:oddHBand="1" w:evenHBand="0" w:firstRowFirstColumn="0" w:firstRowLastColumn="0" w:lastRowFirstColumn="0" w:lastRowLastColumn="0"/>
          <w:trHeight w:val="340"/>
          <w:jc w:val="cent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3 (15%)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0 (0%)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3 (15%)</w:t>
            </w:r>
          </w:p>
        </w:tc>
        <w:tc>
          <w:tcPr>
            <w:cnfStyle w:val="000100000000" w:firstRow="0" w:lastRow="0" w:firstColumn="0" w:lastColumn="1"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tcBorders>
            <w:vAlign w:val="center"/>
            <w:hideMark/>
          </w:tcPr>
          <w:p w:rsidR="002722C8" w:rsidRDefault="002722C8" w:rsidP="002C22BA">
            <w:pPr>
              <w:bidi/>
              <w:spacing w:after="0" w:line="240" w:lineRule="auto"/>
              <w:jc w:val="right"/>
              <w:rPr>
                <w:rFonts w:ascii="Times New Roman" w:hAnsi="Times New Roman" w:cs="Times New Roman"/>
                <w:b w:val="0"/>
                <w:bCs w:val="0"/>
                <w:sz w:val="20"/>
                <w:szCs w:val="20"/>
                <w:lang w:bidi="fa-IR"/>
              </w:rPr>
            </w:pPr>
            <w:r>
              <w:rPr>
                <w:rFonts w:ascii="Times New Roman" w:hAnsi="Times New Roman" w:cs="Times New Roman"/>
                <w:b w:val="0"/>
                <w:bCs w:val="0"/>
                <w:sz w:val="20"/>
                <w:szCs w:val="20"/>
                <w:lang w:bidi="fa-IR"/>
              </w:rPr>
              <w:t>Aspiration</w:t>
            </w:r>
          </w:p>
        </w:tc>
      </w:tr>
      <w:tr w:rsidR="002722C8" w:rsidTr="002722C8">
        <w:trPr>
          <w:trHeight w:val="340"/>
          <w:jc w:val="cent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3 (15%)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3 (15%)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0 (0%)</w:t>
            </w:r>
          </w:p>
        </w:tc>
        <w:tc>
          <w:tcPr>
            <w:cnfStyle w:val="000100000000" w:firstRow="0" w:lastRow="0" w:firstColumn="0" w:lastColumn="1"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tcBorders>
            <w:vAlign w:val="center"/>
            <w:hideMark/>
          </w:tcPr>
          <w:p w:rsidR="002722C8" w:rsidRDefault="002722C8" w:rsidP="002C22BA">
            <w:pPr>
              <w:bidi/>
              <w:spacing w:after="0" w:line="240" w:lineRule="auto"/>
              <w:jc w:val="right"/>
              <w:rPr>
                <w:rFonts w:ascii="Times New Roman" w:hAnsi="Times New Roman" w:cs="Times New Roman"/>
                <w:b w:val="0"/>
                <w:bCs w:val="0"/>
                <w:sz w:val="20"/>
                <w:szCs w:val="20"/>
                <w:lang w:bidi="fa-IR"/>
              </w:rPr>
            </w:pPr>
            <w:r>
              <w:rPr>
                <w:rFonts w:ascii="Times New Roman" w:hAnsi="Times New Roman" w:cs="Times New Roman"/>
                <w:b w:val="0"/>
                <w:bCs w:val="0"/>
                <w:sz w:val="20"/>
                <w:szCs w:val="20"/>
                <w:lang w:bidi="fa-IR"/>
              </w:rPr>
              <w:t>Bleeding</w:t>
            </w:r>
          </w:p>
        </w:tc>
      </w:tr>
      <w:tr w:rsidR="002722C8" w:rsidTr="002722C8">
        <w:trPr>
          <w:cnfStyle w:val="000000100000" w:firstRow="0" w:lastRow="0" w:firstColumn="0" w:lastColumn="0" w:oddVBand="0" w:evenVBand="0" w:oddHBand="1" w:evenHBand="0" w:firstRowFirstColumn="0" w:firstRowLastColumn="0" w:lastRowFirstColumn="0" w:lastRowLastColumn="0"/>
          <w:trHeight w:val="340"/>
          <w:jc w:val="cent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2 (10%)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2 (10%)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0 (0%)</w:t>
            </w:r>
          </w:p>
        </w:tc>
        <w:tc>
          <w:tcPr>
            <w:cnfStyle w:val="000100000000" w:firstRow="0" w:lastRow="0" w:firstColumn="0" w:lastColumn="1"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tcBorders>
            <w:vAlign w:val="center"/>
            <w:hideMark/>
          </w:tcPr>
          <w:p w:rsidR="002722C8" w:rsidRDefault="002722C8" w:rsidP="002C22BA">
            <w:pPr>
              <w:bidi/>
              <w:spacing w:after="0" w:line="240" w:lineRule="auto"/>
              <w:jc w:val="right"/>
              <w:rPr>
                <w:rFonts w:ascii="Times New Roman" w:hAnsi="Times New Roman" w:cs="Times New Roman"/>
                <w:b w:val="0"/>
                <w:bCs w:val="0"/>
                <w:sz w:val="20"/>
                <w:szCs w:val="20"/>
                <w:lang w:bidi="fa-IR"/>
              </w:rPr>
            </w:pPr>
            <w:r>
              <w:rPr>
                <w:rFonts w:ascii="Times New Roman" w:hAnsi="Times New Roman" w:cs="Times New Roman"/>
                <w:b w:val="0"/>
                <w:bCs w:val="0"/>
                <w:sz w:val="20"/>
                <w:szCs w:val="20"/>
                <w:lang w:bidi="fa-IR"/>
              </w:rPr>
              <w:t>External leakage</w:t>
            </w:r>
          </w:p>
        </w:tc>
      </w:tr>
      <w:tr w:rsidR="002722C8" w:rsidTr="002722C8">
        <w:trPr>
          <w:trHeight w:val="340"/>
          <w:jc w:val="cent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2 (10%)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2 (10%)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0 (0%)</w:t>
            </w:r>
          </w:p>
        </w:tc>
        <w:tc>
          <w:tcPr>
            <w:cnfStyle w:val="000100000000" w:firstRow="0" w:lastRow="0" w:firstColumn="0" w:lastColumn="1"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tcBorders>
            <w:vAlign w:val="center"/>
            <w:hideMark/>
          </w:tcPr>
          <w:p w:rsidR="002722C8" w:rsidRDefault="002722C8" w:rsidP="002C22BA">
            <w:pPr>
              <w:bidi/>
              <w:spacing w:after="0" w:line="240" w:lineRule="auto"/>
              <w:jc w:val="right"/>
              <w:rPr>
                <w:rFonts w:ascii="Times New Roman" w:hAnsi="Times New Roman" w:cs="Times New Roman"/>
                <w:b w:val="0"/>
                <w:bCs w:val="0"/>
                <w:sz w:val="20"/>
                <w:szCs w:val="20"/>
                <w:lang w:bidi="fa-IR"/>
              </w:rPr>
            </w:pPr>
            <w:r>
              <w:rPr>
                <w:rFonts w:ascii="Times New Roman" w:hAnsi="Times New Roman" w:cs="Times New Roman"/>
                <w:b w:val="0"/>
                <w:bCs w:val="0"/>
                <w:sz w:val="20"/>
                <w:szCs w:val="20"/>
                <w:lang w:bidi="fa-IR"/>
              </w:rPr>
              <w:t>Unplanned removal</w:t>
            </w:r>
          </w:p>
        </w:tc>
      </w:tr>
      <w:tr w:rsidR="002722C8" w:rsidTr="002722C8">
        <w:trPr>
          <w:cnfStyle w:val="000000100000" w:firstRow="0" w:lastRow="0" w:firstColumn="0" w:lastColumn="0" w:oddVBand="0" w:evenVBand="0" w:oddHBand="1" w:evenHBand="0" w:firstRowFirstColumn="0" w:firstRowLastColumn="0" w:lastRowFirstColumn="0" w:lastRowLastColumn="0"/>
          <w:trHeight w:val="340"/>
          <w:jc w:val="cent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1 (5%)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1 (5%)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0 (0%)</w:t>
            </w:r>
          </w:p>
        </w:tc>
        <w:tc>
          <w:tcPr>
            <w:cnfStyle w:val="000100000000" w:firstRow="0" w:lastRow="0" w:firstColumn="0" w:lastColumn="1"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tcBorders>
            <w:vAlign w:val="center"/>
            <w:hideMark/>
          </w:tcPr>
          <w:p w:rsidR="002722C8" w:rsidRDefault="002722C8" w:rsidP="002C22BA">
            <w:pPr>
              <w:bidi/>
              <w:spacing w:after="0" w:line="240" w:lineRule="auto"/>
              <w:jc w:val="right"/>
              <w:rPr>
                <w:rFonts w:ascii="Times New Roman" w:hAnsi="Times New Roman" w:cs="Times New Roman"/>
                <w:b w:val="0"/>
                <w:bCs w:val="0"/>
                <w:sz w:val="20"/>
                <w:szCs w:val="20"/>
                <w:lang w:bidi="fa-IR"/>
              </w:rPr>
            </w:pPr>
            <w:r>
              <w:rPr>
                <w:rFonts w:ascii="Times New Roman" w:hAnsi="Times New Roman" w:cs="Times New Roman"/>
                <w:b w:val="0"/>
                <w:bCs w:val="0"/>
                <w:sz w:val="20"/>
                <w:szCs w:val="20"/>
                <w:lang w:bidi="fa-IR"/>
              </w:rPr>
              <w:t>Subcutaneous abscess</w:t>
            </w:r>
          </w:p>
        </w:tc>
      </w:tr>
      <w:tr w:rsidR="002722C8" w:rsidTr="002722C8">
        <w:trPr>
          <w:trHeight w:val="340"/>
          <w:jc w:val="cent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1 (5%)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0 (0%)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1 (5%)</w:t>
            </w:r>
          </w:p>
        </w:tc>
        <w:tc>
          <w:tcPr>
            <w:cnfStyle w:val="000100000000" w:firstRow="0" w:lastRow="0" w:firstColumn="0" w:lastColumn="1" w:oddVBand="0" w:evenVBand="0" w:oddHBand="0" w:evenHBand="0" w:firstRowFirstColumn="0" w:firstRowLastColumn="0" w:lastRowFirstColumn="0" w:lastRowLastColumn="0"/>
            <w:tcW w:w="1985" w:type="dxa"/>
            <w:tcBorders>
              <w:top w:val="single" w:sz="4" w:space="0" w:color="FFFFFF" w:themeColor="background1"/>
              <w:bottom w:val="single" w:sz="4" w:space="0" w:color="FFFFFF" w:themeColor="background1"/>
            </w:tcBorders>
            <w:vAlign w:val="center"/>
            <w:hideMark/>
          </w:tcPr>
          <w:p w:rsidR="002722C8" w:rsidRDefault="002722C8" w:rsidP="002C22BA">
            <w:pPr>
              <w:bidi/>
              <w:spacing w:after="0" w:line="240" w:lineRule="auto"/>
              <w:jc w:val="right"/>
              <w:rPr>
                <w:rFonts w:ascii="Times New Roman" w:hAnsi="Times New Roman" w:cs="Times New Roman"/>
                <w:b w:val="0"/>
                <w:bCs w:val="0"/>
                <w:sz w:val="20"/>
                <w:szCs w:val="20"/>
                <w:lang w:bidi="fa-IR"/>
              </w:rPr>
            </w:pPr>
            <w:r>
              <w:rPr>
                <w:rFonts w:ascii="Times New Roman" w:hAnsi="Times New Roman" w:cs="Times New Roman"/>
                <w:b w:val="0"/>
                <w:bCs w:val="0"/>
                <w:sz w:val="20"/>
                <w:szCs w:val="20"/>
                <w:lang w:bidi="fa-IR"/>
              </w:rPr>
              <w:t>Recurrent vomiting</w:t>
            </w:r>
          </w:p>
        </w:tc>
      </w:tr>
      <w:tr w:rsidR="002722C8" w:rsidTr="002722C8">
        <w:trPr>
          <w:cnfStyle w:val="000000100000" w:firstRow="0" w:lastRow="0" w:firstColumn="0" w:lastColumn="0" w:oddVBand="0" w:evenVBand="0" w:oddHBand="1" w:evenHBand="0" w:firstRowFirstColumn="0" w:firstRowLastColumn="0" w:lastRowFirstColumn="0" w:lastRowLastColumn="0"/>
          <w:trHeight w:val="340"/>
          <w:jc w:val="center"/>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20 (100%)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10 (50%)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722C8" w:rsidRDefault="002722C8">
            <w:pPr>
              <w:jc w:val="center"/>
              <w:rPr>
                <w:rFonts w:ascii="Times New Roman" w:hAnsi="Times New Roman" w:cs="Times New Roman"/>
                <w:sz w:val="20"/>
                <w:szCs w:val="20"/>
                <w:lang w:bidi="fa-IR"/>
              </w:rPr>
            </w:pPr>
            <w:r>
              <w:rPr>
                <w:rFonts w:ascii="Times New Roman" w:hAnsi="Times New Roman" w:cs="Times New Roman"/>
                <w:sz w:val="20"/>
                <w:szCs w:val="20"/>
                <w:lang w:bidi="fa-IR"/>
              </w:rPr>
              <w:t>10 (50%)</w:t>
            </w:r>
          </w:p>
        </w:tc>
        <w:tc>
          <w:tcPr>
            <w:cnfStyle w:val="000100000000" w:firstRow="0" w:lastRow="0" w:firstColumn="0" w:lastColumn="1" w:oddVBand="0" w:evenVBand="0" w:oddHBand="0" w:evenHBand="0" w:firstRowFirstColumn="0" w:firstRowLastColumn="0" w:lastRowFirstColumn="0" w:lastRowLastColumn="0"/>
            <w:tcW w:w="1985" w:type="dxa"/>
            <w:tcBorders>
              <w:top w:val="single" w:sz="4" w:space="0" w:color="FFFFFF" w:themeColor="background1"/>
            </w:tcBorders>
            <w:vAlign w:val="center"/>
            <w:hideMark/>
          </w:tcPr>
          <w:p w:rsidR="002722C8" w:rsidRDefault="002722C8" w:rsidP="002C22BA">
            <w:pPr>
              <w:bidi/>
              <w:spacing w:after="0" w:line="240" w:lineRule="auto"/>
              <w:jc w:val="right"/>
              <w:rPr>
                <w:rFonts w:ascii="Times New Roman" w:hAnsi="Times New Roman" w:cs="Times New Roman"/>
                <w:b w:val="0"/>
                <w:bCs w:val="0"/>
                <w:sz w:val="20"/>
                <w:szCs w:val="20"/>
                <w:lang w:bidi="fa-IR"/>
              </w:rPr>
            </w:pPr>
            <w:r>
              <w:rPr>
                <w:rFonts w:ascii="Times New Roman" w:hAnsi="Times New Roman" w:cs="Times New Roman"/>
                <w:b w:val="0"/>
                <w:bCs w:val="0"/>
                <w:sz w:val="20"/>
                <w:szCs w:val="20"/>
                <w:lang w:bidi="fa-IR"/>
              </w:rPr>
              <w:t>Total complications</w:t>
            </w:r>
          </w:p>
        </w:tc>
      </w:tr>
    </w:tbl>
    <w:p w:rsidR="002722C8" w:rsidRDefault="002722C8" w:rsidP="002722C8">
      <w:pPr>
        <w:spacing w:after="0" w:line="276" w:lineRule="auto"/>
        <w:ind w:hanging="1"/>
        <w:jc w:val="center"/>
        <w:rPr>
          <w:rFonts w:ascii="Times New Roman" w:hAnsi="Times New Roman" w:cs="B Nazanin"/>
          <w:sz w:val="20"/>
          <w:szCs w:val="24"/>
        </w:rPr>
      </w:pP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Pr="00C45DB9" w:rsidRDefault="002722C8" w:rsidP="002722C8">
      <w:pPr>
        <w:spacing w:after="0" w:line="480" w:lineRule="auto"/>
        <w:jc w:val="both"/>
        <w:outlineLvl w:val="0"/>
        <w:rPr>
          <w:rFonts w:asciiTheme="majorBidi" w:eastAsia="Times New Roman" w:hAnsiTheme="majorBidi" w:cstheme="majorBidi"/>
          <w:b/>
          <w:bCs/>
          <w:kern w:val="36"/>
          <w:sz w:val="24"/>
          <w:szCs w:val="24"/>
        </w:rPr>
      </w:pPr>
      <w:r w:rsidRPr="00C45DB9">
        <w:rPr>
          <w:rFonts w:asciiTheme="majorBidi" w:eastAsia="Times New Roman" w:hAnsiTheme="majorBidi" w:cstheme="majorBidi"/>
          <w:b/>
          <w:bCs/>
          <w:kern w:val="36"/>
          <w:sz w:val="24"/>
          <w:szCs w:val="24"/>
        </w:rPr>
        <w:t>One-year Survival:</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No mortality was observed because of PEG tube placement. 16 patients (16.5%) di</w:t>
      </w:r>
      <w:r w:rsidR="00C45DB9">
        <w:rPr>
          <w:rFonts w:asciiTheme="majorBidi" w:eastAsia="Times New Roman" w:hAnsiTheme="majorBidi" w:cstheme="majorBidi"/>
          <w:kern w:val="36"/>
          <w:sz w:val="24"/>
          <w:szCs w:val="24"/>
        </w:rPr>
        <w:t xml:space="preserve">ed before one year, because of </w:t>
      </w:r>
      <w:r>
        <w:rPr>
          <w:rFonts w:asciiTheme="majorBidi" w:eastAsia="Times New Roman" w:hAnsiTheme="majorBidi" w:cstheme="majorBidi"/>
          <w:kern w:val="36"/>
          <w:sz w:val="24"/>
          <w:szCs w:val="24"/>
        </w:rPr>
        <w:t>the underlying diseases and their progression. 81 patients lived more than one year. So, the one-year survival of the patients was calculated as 83.5%.</w:t>
      </w:r>
    </w:p>
    <w:p w:rsidR="002722C8" w:rsidRPr="00C45DB9" w:rsidRDefault="002722C8" w:rsidP="002722C8">
      <w:pPr>
        <w:spacing w:after="0" w:line="480" w:lineRule="auto"/>
        <w:jc w:val="both"/>
        <w:outlineLvl w:val="0"/>
        <w:rPr>
          <w:rFonts w:asciiTheme="majorBidi" w:eastAsia="Times New Roman" w:hAnsiTheme="majorBidi" w:cstheme="majorBidi"/>
          <w:color w:val="00B0F0"/>
          <w:kern w:val="36"/>
          <w:sz w:val="24"/>
          <w:szCs w:val="24"/>
        </w:rPr>
      </w:pPr>
    </w:p>
    <w:p w:rsidR="002722C8" w:rsidRPr="00C45DB9" w:rsidRDefault="00C45DB9" w:rsidP="002722C8">
      <w:pPr>
        <w:spacing w:after="0" w:line="480" w:lineRule="auto"/>
        <w:jc w:val="both"/>
        <w:outlineLvl w:val="0"/>
        <w:rPr>
          <w:rFonts w:asciiTheme="majorBidi" w:eastAsia="Times New Roman" w:hAnsiTheme="majorBidi" w:cstheme="majorBidi"/>
          <w:color w:val="00B0F0"/>
          <w:kern w:val="36"/>
          <w:sz w:val="24"/>
          <w:szCs w:val="24"/>
        </w:rPr>
      </w:pPr>
      <w:r w:rsidRPr="00C45DB9">
        <w:rPr>
          <w:rFonts w:asciiTheme="majorBidi" w:eastAsia="Times New Roman" w:hAnsiTheme="majorBidi" w:cstheme="majorBidi"/>
          <w:color w:val="00B0F0"/>
          <w:kern w:val="36"/>
          <w:sz w:val="24"/>
          <w:szCs w:val="24"/>
        </w:rPr>
        <w:t>DISCUSSION</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Maintaining adequate nutrition is considered as a very important objective in the management of many diseases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&lt;EndNote&gt;&lt;Cite&gt;&lt;Author&gt;Friginal-Ruiz&lt;/Author&gt;&lt;Year&gt;2015&lt;/Year&gt;&lt;RecNum&gt;7&lt;/RecNum&gt;&lt;DisplayText&gt;(7)&lt;/DisplayText&gt;&lt;record&gt;&lt;rec-number&gt;7&lt;/rec-number&gt;&lt;foreign-keys&gt;&lt;key app="EN" db-id="2a5vttsxzf9a2qe9vfk50zfq9txpxe9av9rx" timestamp="1486398528"&gt;7&lt;/key&gt;&lt;/foreign-keys&gt;&lt;ref-type name="Journal Article"&gt;17&lt;/ref-type&gt;&lt;contributors&gt;&lt;authors&gt;&lt;author&gt;Friginal-Ruiz, Ana Belén&lt;/author&gt;&lt;author&gt;Lucendo, Alfredo J&lt;/author&gt;&lt;/authors&gt;&lt;/contributors&gt;&lt;titles&gt;&lt;title&gt;Percutaneous endoscopic gastrostomy: a practical overview on its indications, placement conditions, management, and nursing care&lt;/title&gt;&lt;secondary-title&gt;Gastroenterology Nursing&lt;/secondary-title&gt;&lt;/titles&gt;&lt;periodical&gt;&lt;full-title&gt;Gastroenterology Nursing&lt;/full-title&gt;&lt;/periodical&gt;&lt;pages&gt;354-366&lt;/pages&gt;&lt;volume&gt;38&lt;/volume&gt;&lt;number&gt;5&lt;/number&gt;&lt;dates&gt;&lt;year&gt;2015&lt;/year&gt;&lt;/dates&gt;&lt;isbn&gt;1042-895X&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(7)</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Currently application of PEG tube is known as a standard method for enteral feeding of patients. Many of these patients are old patients with CVA who have lost their ability of oral intake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&lt;EndNote&gt;&lt;Cite&gt;&lt;Author&gt;Li&lt;/Author&gt;&lt;Year&gt;2014&lt;/Year&gt;&lt;RecNum&gt;21&lt;/RecNum&gt;&lt;DisplayText&gt;(19, 20)&lt;/DisplayText&gt;&lt;record&gt;&lt;rec-number&gt;21&lt;/rec-number&gt;&lt;foreign-keys&gt;&lt;key app="EN" db-id="2a5vttsxzf9a2qe9vfk50zfq9txpxe9av9rx" timestamp="1486399263"&gt;21&lt;/key&gt;&lt;/foreign-keys&gt;&lt;ref-type name="Journal Article"&gt;17&lt;/ref-type&gt;&lt;contributors&gt;&lt;authors&gt;&lt;author&gt;Li, Jian&lt;/author&gt;&lt;author&gt;Zhang, Juan&lt;/author&gt;&lt;author&gt;Li, Shujuan&lt;/author&gt;&lt;author&gt;Guo, Hongliang&lt;/author&gt;&lt;author&gt;Qin, Wei&lt;/author&gt;&lt;author&gt;li Hu, Wen&lt;/author&gt;&lt;/authors&gt;&lt;/contributors&gt;&lt;titles&gt;&lt;title&gt;Predictors of percutaneous endoscopic gastrostomy tube placement after stroke&lt;/title&gt;&lt;secondary-title&gt;The Canadian Journal of Neurological Sciences&lt;/secondary-title&gt;&lt;/titles&gt;&lt;periodical&gt;&lt;full-title&gt;The Canadian Journal of Neurological Sciences&lt;/full-title&gt;&lt;/periodical&gt;&lt;pages&gt;24-28&lt;/pages&gt;&lt;volume&gt;41&lt;/volume&gt;&lt;number&gt;01&lt;/number&gt;&lt;dates&gt;&lt;year&gt;2014&lt;/year&gt;&lt;/dates&gt;&lt;isbn&gt;2057-0155&lt;/isbn&gt;&lt;urls&gt;&lt;/urls&gt;&lt;/record&gt;&lt;/Cite&gt;&lt;Cite&gt;&lt;Author&gt;Kara&lt;/Author&gt;&lt;Year&gt;2016&lt;/Year&gt;&lt;RecNum&gt;22&lt;/RecNum&gt;&lt;record&gt;&lt;rec-number&gt;22&lt;/rec-number&gt;&lt;foreign-keys&gt;&lt;key app="EN" db-id="2a5vttsxzf9a2qe9vfk50zfq9txpxe9av9rx" timestamp="1486399277"&gt;22&lt;/key&gt;&lt;/foreign-keys&gt;&lt;ref-type name="Journal Article"&gt;17&lt;/ref-type&gt;&lt;contributors&gt;&lt;authors&gt;&lt;author&gt;Kara, Ozgur&lt;/author&gt;&lt;author&gt;Kizilarslanoglu, Muhammet Cemal&lt;/author&gt;&lt;author&gt;Canbaz, Busra&lt;/author&gt;&lt;author&gt;Arik, Gunes&lt;/author&gt;&lt;author&gt;Varan, Hacer Dogan&lt;/author&gt;&lt;author&gt;Kuyumcu, Mehmet Emin&lt;/author&gt;&lt;author&gt;Kilic, Mustafa Kemal&lt;/author&gt;&lt;author&gt;Sumer, Fatih&lt;/author&gt;&lt;author&gt;Yesil, Yusuf&lt;/author&gt;&lt;author&gt;Yavuz, Burcu Balam&lt;/author&gt;&lt;/authors&gt;&lt;/contributors&gt;&lt;titles&gt;&lt;title&gt;Survival After Percutaneous Endoscopic Gastrostomy in Older Adults With Neurologic Disorders&lt;/title&gt;&lt;secondary-title&gt;Nutrition in Clinical Practice&lt;/secondary-title&gt;&lt;/titles&gt;&lt;periodical&gt;&lt;full-title&gt;Nutrition in Clinical Practice&lt;/full-title&gt;&lt;/periodical&gt;&lt;pages&gt;799-804&lt;/pages&gt;&lt;volume&gt;31&lt;/volume&gt;&lt;number&gt;6&lt;/number&gt;&lt;dates&gt;&lt;year&gt;2016&lt;/year&gt;&lt;/dates&gt;&lt;isbn&gt;0884-5336&lt;/isbn&gt;&lt;urls&gt;&lt;/urls&gt;&lt;/record&gt;&lt;/Cite&gt;&lt;/EndNote&gt;</w:instrText>
      </w:r>
      <w:r>
        <w:rPr>
          <w:rFonts w:asciiTheme="majorBidi" w:eastAsia="Times New Roman" w:hAnsiTheme="majorBidi" w:cstheme="majorBidi"/>
          <w:kern w:val="36"/>
          <w:sz w:val="24"/>
          <w:szCs w:val="24"/>
        </w:rPr>
        <w:fldChar w:fldCharType="separate"/>
      </w:r>
      <w:r w:rsidR="00C45DB9">
        <w:rPr>
          <w:rFonts w:asciiTheme="majorBidi" w:eastAsia="Times New Roman" w:hAnsiTheme="majorBidi" w:cstheme="majorBidi"/>
          <w:noProof/>
          <w:kern w:val="36"/>
          <w:sz w:val="24"/>
          <w:szCs w:val="24"/>
        </w:rPr>
        <w:t>(19,</w:t>
      </w:r>
      <w:r>
        <w:rPr>
          <w:rFonts w:asciiTheme="majorBidi" w:eastAsia="Times New Roman" w:hAnsiTheme="majorBidi" w:cstheme="majorBidi"/>
          <w:noProof/>
          <w:kern w:val="36"/>
          <w:sz w:val="24"/>
          <w:szCs w:val="24"/>
        </w:rPr>
        <w:t>20)</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If a patient needs long-term nutrition, the best option would be to use the PEG tube, because in addition to the privileges mentioned in the Introduction, the use of silicon material in the tubes stimulates the lowest reaction of the immune system and therefore, it can be used for long terms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&lt;EndNote&gt;&lt;Cite&gt;&lt;Author&gt;Villela&lt;/Author&gt;&lt;Year&gt;2014&lt;/Year&gt;&lt;RecNum&gt;24&lt;/RecNum&gt;&lt;DisplayText&gt;(21)&lt;/DisplayText&gt;&lt;record&gt;&lt;rec-number&gt;24&lt;/rec-number&gt;&lt;foreign-keys&gt;&lt;key app="EN" db-id="2a5vttsxzf9a2qe9vfk50zfq9txpxe9av9rx" timestamp="1486399362"&gt;24&lt;/key&gt;&lt;/foreign-keys&gt;&lt;ref-type name="Journal Article"&gt;17&lt;/ref-type&gt;&lt;contributors&gt;&lt;authors&gt;&lt;author&gt;Villela, Emanuele L&lt;/author&gt;&lt;author&gt;Sakai, Paulo&lt;/author&gt;&lt;author&gt;Almeida, Maira R&lt;/author&gt;&lt;author&gt;Moura, Eduardo GH&lt;/author&gt;&lt;author&gt;Faintuch, Joel&lt;/author&gt;&lt;/authors&gt;&lt;/contributors&gt;&lt;titles&gt;&lt;title&gt;Endoscopic gastrostomy replacement tubes: Long-term randomized trial with five silicone commercial models&lt;/title&gt;&lt;secondary-title&gt;Clinical Nutrition&lt;/secondary-title&gt;&lt;/titles&gt;&lt;periodical&gt;&lt;full-title&gt;Clinical Nutrition&lt;/full-title&gt;&lt;/periodical&gt;&lt;pages&gt;221-225&lt;/pages&gt;&lt;volume&gt;33&lt;/volume&gt;&lt;number&gt;2&lt;/number&gt;&lt;dates&gt;&lt;year&gt;2014&lt;/year&gt;&lt;/dates&gt;&lt;isbn&gt;0261-5614&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(21)</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w:t>
      </w:r>
    </w:p>
    <w:p w:rsidR="002722C8" w:rsidRDefault="002722C8" w:rsidP="002722C8">
      <w:pPr>
        <w:spacing w:after="0" w:line="480" w:lineRule="auto"/>
        <w:ind w:firstLine="72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It should be noted that using bulking agents such as </w:t>
      </w:r>
      <w:proofErr w:type="spellStart"/>
      <w:r>
        <w:rPr>
          <w:rFonts w:asciiTheme="majorBidi" w:eastAsia="Times New Roman" w:hAnsiTheme="majorBidi" w:cstheme="majorBidi"/>
          <w:kern w:val="36"/>
          <w:sz w:val="24"/>
          <w:szCs w:val="24"/>
        </w:rPr>
        <w:t>cholestyramine</w:t>
      </w:r>
      <w:proofErr w:type="spellEnd"/>
      <w:r>
        <w:rPr>
          <w:rFonts w:asciiTheme="majorBidi" w:eastAsia="Times New Roman" w:hAnsiTheme="majorBidi" w:cstheme="majorBidi"/>
          <w:kern w:val="36"/>
          <w:sz w:val="24"/>
          <w:szCs w:val="24"/>
        </w:rPr>
        <w:t xml:space="preserve"> and </w:t>
      </w:r>
      <w:proofErr w:type="spellStart"/>
      <w:r>
        <w:rPr>
          <w:rFonts w:asciiTheme="majorBidi" w:eastAsia="Times New Roman" w:hAnsiTheme="majorBidi" w:cstheme="majorBidi"/>
          <w:kern w:val="36"/>
          <w:sz w:val="24"/>
          <w:szCs w:val="24"/>
        </w:rPr>
        <w:t>psyllium</w:t>
      </w:r>
      <w:proofErr w:type="spellEnd"/>
      <w:r>
        <w:rPr>
          <w:rFonts w:asciiTheme="majorBidi" w:eastAsia="Times New Roman" w:hAnsiTheme="majorBidi" w:cstheme="majorBidi"/>
          <w:kern w:val="36"/>
          <w:sz w:val="24"/>
          <w:szCs w:val="24"/>
        </w:rPr>
        <w:t xml:space="preserve"> should be avoided in this method. To avoid clogged tubes, the tubes should be washed every </w:t>
      </w:r>
      <w:r>
        <w:rPr>
          <w:rFonts w:asciiTheme="majorBidi" w:eastAsia="Times New Roman" w:hAnsiTheme="majorBidi" w:cstheme="majorBidi"/>
          <w:kern w:val="36"/>
          <w:sz w:val="24"/>
          <w:szCs w:val="24"/>
        </w:rPr>
        <w:lastRenderedPageBreak/>
        <w:t xml:space="preserve">four hours with 30-60 mL water. The use of normal saline is not recommended due to the crystallization in the tubes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&lt;EndNote&gt;&lt;Cite&gt;&lt;Author&gt;Mori&lt;/Author&gt;&lt;Year&gt;2013&lt;/Year&gt;&lt;RecNum&gt;25&lt;/RecNum&gt;&lt;DisplayText&gt;(22)&lt;/DisplayText&gt;&lt;record&gt;&lt;rec-number&gt;25&lt;/rec-number&gt;&lt;foreign-keys&gt;&lt;key app="EN" db-id="2a5vttsxzf9a2qe9vfk50zfq9txpxe9av9rx" timestamp="1486399400"&gt;25&lt;/key&gt;&lt;/foreign-keys&gt;&lt;ref-type name="Journal Article"&gt;17&lt;/ref-type&gt;&lt;contributors&gt;&lt;authors&gt;&lt;author&gt;Mori, Hirohito&lt;/author&gt;&lt;author&gt;Kobara, Hideki&lt;/author&gt;&lt;author&gt;Rafiq, Kazi&lt;/author&gt;&lt;author&gt;Nishiyama, Noriko&lt;/author&gt;&lt;author&gt;Fujihara, Shintaro&lt;/author&gt;&lt;author&gt;Oryu, Makoto&lt;/author&gt;&lt;author&gt;Masaki, Tsutomu&lt;/author&gt;&lt;/authors&gt;&lt;/contributors&gt;&lt;titles&gt;&lt;title&gt;Effects of gastric irrigation on bacterial counts before endoscopic submucosal dissection: a randomized case control prospective study&lt;/title&gt;&lt;secondary-title&gt;PloS one&lt;/secondary-title&gt;&lt;/titles&gt;&lt;periodical&gt;&lt;full-title&gt;PloS one&lt;/full-title&gt;&lt;/periodical&gt;&lt;pages&gt;e65377&lt;/pages&gt;&lt;volume&gt;8&lt;/volume&gt;&lt;number&gt;6&lt;/number&gt;&lt;dates&gt;&lt;year&gt;2013&lt;/year&gt;&lt;/dates&gt;&lt;isbn&gt;1932-6203&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(22)</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That is why in this study we recommended our patients to use water as tube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irrigants</w:t>
      </w:r>
      <w:proofErr w:type="spellEnd"/>
      <w:r>
        <w:rPr>
          <w:rFonts w:asciiTheme="majorBidi" w:eastAsia="Times New Roman" w:hAnsiTheme="majorBidi" w:cstheme="majorBidi"/>
          <w:kern w:val="36"/>
          <w:sz w:val="24"/>
          <w:szCs w:val="24"/>
        </w:rPr>
        <w:t>.</w:t>
      </w:r>
    </w:p>
    <w:p w:rsidR="002722C8" w:rsidRDefault="002722C8" w:rsidP="002722C8">
      <w:pPr>
        <w:spacing w:after="0" w:line="480" w:lineRule="auto"/>
        <w:ind w:firstLine="72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Although the success rate of PEG tube has been reported as more than 95% in similar studies, its complications are common. In our study, the success rate in the PEG tube placement was more than 98% and its related complications in general (early and late) were 20.6% and no procedure-related death was observed. Our finding was consistent with previous meta-analyses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&lt;EndNote&gt;&lt;Cite&gt;&lt;Author&gt;Lim&lt;/Author&gt;&lt;Year&gt;2016&lt;/Year&gt;&lt;RecNum&gt;26&lt;/RecNum&gt;&lt;DisplayText&gt;(23, 24)&lt;/DisplayText&gt;&lt;record&gt;&lt;rec-number&gt;26&lt;/rec-number&gt;&lt;foreign-keys&gt;&lt;key app="EN" db-id="2a5vttsxzf9a2qe9vfk50zfq9txpxe9av9rx" timestamp="1486399435"&gt;26&lt;/key&gt;&lt;/foreign-keys&gt;&lt;ref-type name="Journal Article"&gt;17&lt;/ref-type&gt;&lt;contributors&gt;&lt;authors&gt;&lt;author&gt;Lim, Joo Hyun&lt;/author&gt;&lt;author&gt;Choi, Seung Ho&lt;/author&gt;&lt;author&gt;Lee, Changhyun&lt;/author&gt;&lt;author&gt;Seo, Ji Yeon&lt;/author&gt;&lt;author&gt;Kang, Hae Yeon&lt;/author&gt;&lt;author&gt;Yang, Jong In&lt;/author&gt;&lt;author&gt;Chung, Su Jin&lt;/author&gt;&lt;author&gt;Kim, Joo Sung&lt;/author&gt;&lt;/authors&gt;&lt;/contributors&gt;&lt;titles&gt;&lt;title&gt;Thirty-day mortality after percutaneous gastrostomy by endoscopic versus radiologic placement: a systematic review and meta-analysis&lt;/title&gt;&lt;secondary-title&gt;Intestinal Research&lt;/secondary-title&gt;&lt;/titles&gt;&lt;periodical&gt;&lt;full-title&gt;Intestinal Research&lt;/full-title&gt;&lt;/periodical&gt;&lt;pages&gt;333-342&lt;/pages&gt;&lt;volume&gt;14&lt;/volume&gt;&lt;number&gt;4&lt;/number&gt;&lt;dates&gt;&lt;year&gt;2016&lt;/year&gt;&lt;/dates&gt;&lt;isbn&gt;1598-9100&lt;/isbn&gt;&lt;urls&gt;&lt;/urls&gt;&lt;/record&gt;&lt;/Cite&gt;&lt;Cite&gt;&lt;Author&gt;Suksamanapun&lt;/Author&gt;&lt;Year&gt;2016&lt;/Year&gt;&lt;RecNum&gt;27&lt;/RecNum&gt;&lt;record&gt;&lt;rec-number&gt;27&lt;/rec-number&gt;&lt;foreign-keys&gt;&lt;key app="EN" db-id="2a5vttsxzf9a2qe9vfk50zfq9txpxe9av9rx" timestamp="1486399444"&gt;27&lt;/key&gt;&lt;/foreign-keys&gt;&lt;ref-type name="Generic"&gt;13&lt;/ref-type&gt;&lt;contributors&gt;&lt;authors&gt;&lt;author&gt;Suksamanapun, Nutnicha&lt;/author&gt;&lt;author&gt;Mauritz, Femke A&lt;/author&gt;&lt;author&gt;Franken, Josephine&lt;/author&gt;&lt;author&gt;van der Zee, David C&lt;/author&gt;&lt;author&gt;van Herwaarden-Lindeboom, MY&lt;/author&gt;&lt;/authors&gt;&lt;/contributors&gt;&lt;titles&gt;&lt;title&gt;Laparoscopic versus percutaneous endoscopic gastrostomy placement in children: Results of a systematic review and meta-analysis&lt;/title&gt;&lt;/titles&gt;&lt;dates&gt;&lt;year&gt;2016&lt;/year&gt;&lt;/dates&gt;&lt;isbn&gt;0972-9941&lt;/isbn&gt;&lt;urls&gt;&lt;/urls&gt;&lt;/record&gt;&lt;/Cite&gt;&lt;/EndNote&gt;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(23, 24)</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w:t>
      </w:r>
    </w:p>
    <w:p w:rsidR="002722C8" w:rsidRDefault="002722C8" w:rsidP="002722C8">
      <w:pPr>
        <w:spacing w:after="0" w:line="480" w:lineRule="auto"/>
        <w:ind w:firstLine="720"/>
        <w:jc w:val="both"/>
        <w:outlineLvl w:val="0"/>
        <w:rPr>
          <w:rFonts w:asciiTheme="majorBidi" w:eastAsia="Times New Roman" w:hAnsiTheme="majorBidi" w:cstheme="majorBidi"/>
          <w:kern w:val="36"/>
          <w:sz w:val="24"/>
          <w:szCs w:val="24"/>
        </w:rPr>
      </w:pPr>
      <w:proofErr w:type="spellStart"/>
      <w:r>
        <w:rPr>
          <w:rFonts w:asciiTheme="majorBidi" w:eastAsia="Times New Roman" w:hAnsiTheme="majorBidi" w:cstheme="majorBidi"/>
          <w:kern w:val="36"/>
          <w:sz w:val="24"/>
          <w:szCs w:val="24"/>
        </w:rPr>
        <w:t>Periostomal</w:t>
      </w:r>
      <w:proofErr w:type="spellEnd"/>
      <w:r>
        <w:rPr>
          <w:rFonts w:asciiTheme="majorBidi" w:eastAsia="Times New Roman" w:hAnsiTheme="majorBidi" w:cstheme="majorBidi"/>
          <w:kern w:val="36"/>
          <w:sz w:val="24"/>
          <w:szCs w:val="24"/>
        </w:rPr>
        <w:t xml:space="preserve"> wound infection is considered as the most common complication (4-30%) in PEG tube method. The incidence of this complication is in the wide range of 8-47% </w:t>
      </w:r>
      <w:r>
        <w:rPr>
          <w:rFonts w:asciiTheme="majorBidi" w:eastAsia="Times New Roman" w:hAnsiTheme="majorBidi" w:cstheme="majorBidi"/>
          <w:kern w:val="36"/>
          <w:sz w:val="24"/>
          <w:szCs w:val="24"/>
        </w:rPr>
        <w:fldChar w:fldCharType="begin">
          <w:fldData xml:space="preserve">PEVuZE5vdGU+PENpdGU+PEF1dGhvcj5EdWFydGU8L0F1dGhvcj48WWVhcj4yMDEyPC9ZZWFyPjxS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</w:fldData>
        </w:fldChar>
      </w:r>
      <w:r>
        <w:rPr>
          <w:rFonts w:asciiTheme="majorBidi" w:eastAsia="Times New Roman" w:hAnsiTheme="majorBidi" w:cstheme="majorBidi"/>
          <w:kern w:val="36"/>
          <w:sz w:val="24"/>
          <w:szCs w:val="24"/>
        </w:rPr>
        <w:instrText xml:space="preserve"> ADDIN EN.CITE </w:instrText>
      </w:r>
      <w:r>
        <w:rPr>
          <w:rFonts w:asciiTheme="majorBidi" w:eastAsia="Times New Roman" w:hAnsiTheme="majorBidi" w:cstheme="majorBidi"/>
          <w:kern w:val="36"/>
          <w:sz w:val="24"/>
          <w:szCs w:val="24"/>
        </w:rPr>
        <w:fldChar w:fldCharType="begin">
          <w:fldData xml:space="preserve">PEVuZE5vdGU+PENpdGU+PEF1dGhvcj5EdWFydGU8L0F1dGhvcj48WWVhcj4yMDEyPC9ZZWFyPjxS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</w:fldData>
        </w:fldChar>
      </w:r>
      <w:r>
        <w:rPr>
          <w:rFonts w:asciiTheme="majorBidi" w:eastAsia="Times New Roman" w:hAnsiTheme="majorBidi" w:cstheme="majorBidi"/>
          <w:kern w:val="36"/>
          <w:sz w:val="24"/>
          <w:szCs w:val="24"/>
        </w:rPr>
        <w:instrText xml:space="preserve"> ADDIN EN.CITE.DATA </w:instrText>
      </w:r>
      <w:r>
        <w:rPr>
          <w:rFonts w:asciiTheme="majorBidi" w:eastAsia="Times New Roman" w:hAnsiTheme="majorBidi" w:cstheme="majorBidi"/>
          <w:kern w:val="36"/>
          <w:sz w:val="24"/>
          <w:szCs w:val="24"/>
        </w:rPr>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(25-29)</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In this study, the rate of wound infection after PEG tube placement was only 8.2%, which can be due to the use of </w:t>
      </w:r>
      <w:proofErr w:type="spellStart"/>
      <w:r>
        <w:rPr>
          <w:rFonts w:asciiTheme="majorBidi" w:eastAsia="Times New Roman" w:hAnsiTheme="majorBidi" w:cstheme="majorBidi"/>
          <w:kern w:val="36"/>
          <w:sz w:val="24"/>
          <w:szCs w:val="24"/>
        </w:rPr>
        <w:t>cephazolin</w:t>
      </w:r>
      <w:proofErr w:type="spellEnd"/>
      <w:r>
        <w:rPr>
          <w:rFonts w:asciiTheme="majorBidi" w:eastAsia="Times New Roman" w:hAnsiTheme="majorBidi" w:cstheme="majorBidi"/>
          <w:kern w:val="36"/>
          <w:sz w:val="24"/>
          <w:szCs w:val="24"/>
        </w:rPr>
        <w:t xml:space="preserve"> prophylaxis on two separate occasions prior to each procedure. However, according to the European Society of Parenteral and Enteral Nutrition, the use of routine antibiotic prophylaxis in established hygienic conditions and required skills is not so necessary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&lt;EndNote&gt;&lt;Cite&gt;&lt;Author&gt;Lipp&lt;/Author&gt;&lt;Year&gt;2013&lt;/Year&gt;&lt;RecNum&gt;33&lt;/RecNum&gt;&lt;DisplayText&gt;(30)&lt;/DisplayText&gt;&lt;record&gt;&lt;rec-number&gt;33&lt;/rec-number&gt;&lt;foreign-keys&gt;&lt;key app="EN" db-id="2a5vttsxzf9a2qe9vfk50zfq9txpxe9av9rx" timestamp="1486399669"&gt;33&lt;/key&gt;&lt;/foreign-keys&gt;&lt;ref-type name="Journal Article"&gt;17&lt;/ref-type&gt;&lt;contributors&gt;&lt;authors&gt;&lt;author&gt;Lipp, Allyson&lt;/author&gt;&lt;author&gt;Lusardi, Gail&lt;/author&gt;&lt;/authors&gt;&lt;/contributors&gt;&lt;titles&gt;&lt;title&gt;Systemic antimicrobial prophylaxis for percutaneous endoscopic gastrostomy&lt;/title&gt;&lt;secondary-title&gt;The Cochrane Library&lt;/secondary-title&gt;&lt;/titles&gt;&lt;periodical&gt;&lt;full-title&gt;The Cochrane Library&lt;/full-title&gt;&lt;/periodical&gt;&lt;dates&gt;&lt;year&gt;2013&lt;/year&gt;&lt;/dates&gt;&lt;isbn&gt;1465-1858&lt;/isbn&gt;&lt;urls&gt;&lt;/urls&gt;&lt;/record&gt;&lt;/Cite&gt;&lt;/EndNote&gt;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(30)</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but a meta-analysis conducted on randomized-controlled trials, which had analyzed a total of 1059 patients, showed that the use of antibiotic prophylaxis before PEG tube placement had a significant role in reducing wound infection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&lt;EndNote&gt;&lt;Cite&gt;&lt;Author&gt;Jafri&lt;/Author&gt;&lt;Year&gt;2007&lt;/Year&gt;&lt;RecNum&gt;34&lt;/RecNum&gt;&lt;DisplayText&gt;(31)&lt;/DisplayText&gt;&lt;record&gt;&lt;rec-number&gt;34&lt;/rec-number&gt;&lt;foreign-keys&gt;&lt;key app="EN" db-id="2a5vttsxzf9a2qe9vfk50zfq9txpxe9av9rx" timestamp="1486399706"&gt;34&lt;/key&gt;&lt;/foreign-keys&gt;&lt;ref-type name="Journal Article"&gt;17&lt;/ref-type&gt;&lt;contributors&gt;&lt;authors&gt;&lt;author&gt;Jafri, NS&lt;/author&gt;&lt;author&gt;Mahid, SS&lt;/author&gt;&lt;author&gt;Minor, KS&lt;/author&gt;&lt;author&gt;Idstein, SR&lt;/author&gt;&lt;author&gt;Hornung, CA&lt;/author&gt;&lt;author&gt;Galandiuk, S&lt;/author&gt;&lt;/authors&gt;&lt;/contributors&gt;&lt;titles&gt;&lt;title&gt;Meta</w:instrText>
      </w:r>
      <w:r>
        <w:rPr>
          <w:rFonts w:ascii="Cambria Math" w:eastAsia="Times New Roman" w:hAnsi="Cambria Math" w:cs="Cambria Math"/>
          <w:kern w:val="36"/>
          <w:sz w:val="24"/>
          <w:szCs w:val="24"/>
        </w:rPr>
        <w:instrText>‐</w:instrText>
      </w:r>
      <w:r>
        <w:rPr>
          <w:rFonts w:asciiTheme="majorBidi" w:eastAsia="Times New Roman" w:hAnsiTheme="majorBidi" w:cstheme="majorBidi"/>
          <w:kern w:val="36"/>
          <w:sz w:val="24"/>
          <w:szCs w:val="24"/>
        </w:rPr>
        <w:instrText>analysis: antibiotic prophylaxis to prevent peristomal infection following percutaneous endoscopic gastrostomy&lt;/title&gt;&lt;secondary-title&gt;Alimentary pharmacology &amp;amp; therapeutics&lt;/secondary-title&gt;&lt;/titles&gt;&lt;periodical&gt;&lt;full-title&gt;Alimentary pharmacology &amp;amp; therapeutics&lt;/full-title&gt;&lt;/periodical&gt;&lt;pages&gt;647-656&lt;/pages&gt;&lt;volume&gt;25&lt;/volume&gt;&lt;number&gt;6&lt;/number&gt;&lt;dates&gt;&lt;year&gt;2007&lt;/year&gt;&lt;/dates&gt;&lt;isbn&gt;1365-2036&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(31)</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Although the incidence of wound infection in our study was low, it should be noted that it was the most frequent complications after PEG tube placement.</w:t>
      </w:r>
    </w:p>
    <w:p w:rsidR="002722C8" w:rsidRDefault="002722C8" w:rsidP="002722C8">
      <w:pPr>
        <w:spacing w:after="0" w:line="480" w:lineRule="auto"/>
        <w:ind w:firstLine="72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Aspiration is one of the major complications after PEG tube placement, which has risk factors such as old age, neurological disorders, supine position, and sedation. In this study, only three patients (3.1%) suffered from aspiration. All of them occurred before a month (early complication). However, aspiration usually occurs as a late complication after a long term home enteral nutrition (HEN)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&lt;EndNote&gt;&lt;Cite&gt;&lt;Author&gt;Ławiński&lt;/Author&gt;&lt;Year&gt;2014&lt;/Year&gt;&lt;RecNum&gt;35&lt;/RecNum&gt;&lt;DisplayText&gt;(32, 33)&lt;/DisplayText&gt;&lt;record&gt;&lt;rec-number&gt;35&lt;/rec-number&gt;&lt;foreign-keys&gt;&lt;key app="EN" db-id="2a5vttsxzf9a2qe9vfk50zfq9txpxe9av9rx" timestamp="1486399744"&gt;35&lt;/key&gt;&lt;/foreign-keys&gt;&lt;ref-type name="Journal Article"&gt;17&lt;/ref-type&gt;&lt;contributors&gt;&lt;authors&gt;&lt;author&gt;Ławiński, Michał&lt;/author&gt;&lt;author&gt;Gradowski, Łukasz&lt;/author&gt;&lt;author&gt;Bzikowska, Agnieszka&lt;/author&gt;&lt;author&gt;Goszczyńska, Adriana&lt;/author&gt;&lt;author&gt;Jachnis, Aneta&lt;/author&gt;&lt;author&gt;Forysiński, Karol&lt;/author&gt;&lt;/authors&gt;&lt;/contributors&gt;&lt;titles&gt;&lt;title&gt;Gastrojejunostomy Inserted Through Peg (Peg-J) in Prevention of Aspiration Pneumonia. Clinical Nutrition Complication in Dysphagic Patients&lt;/title&gt;&lt;secondary-title&gt;Polish Journal of Surgery&lt;/secondary-title&gt;&lt;/titles&gt;&lt;periodical&gt;&lt;full-title&gt;Polish Journal of Surgery&lt;/full-title&gt;&lt;/periodical&gt;&lt;pages&gt;223-229&lt;/pages&gt;&lt;volume&gt;86&lt;/volume&gt;&lt;number&gt;5&lt;/number&gt;&lt;dates&gt;&lt;year&gt;2014&lt;/year&gt;&lt;/dates&gt;&lt;isbn&gt;0032-373X&lt;/isbn&gt;&lt;urls&gt;&lt;/urls&gt;&lt;/record&gt;&lt;/Cite&gt;&lt;Cite&gt;&lt;Author&gt;Richter-Schrag&lt;/Author&gt;&lt;Year&gt;2011&lt;/Year&gt;&lt;RecNum&gt;36&lt;/RecNum&gt;&lt;record&gt;&lt;rec-number&gt;36&lt;/rec-number&gt;&lt;foreign-keys&gt;&lt;key app="EN" db-id="2a5vttsxzf9a2qe9vfk50zfq9txpxe9av9rx" timestamp="1486399757"&gt;36&lt;/key&gt;&lt;/foreign-keys&gt;&lt;ref-type name="Journal Article"&gt;17&lt;/ref-type&gt;&lt;contributors&gt;&lt;authors&gt;&lt;author&gt;Richter-Schrag, Hans-Jürgen&lt;/author&gt;&lt;author&gt;Richter, Sabine&lt;/author&gt;&lt;author&gt;Ruthmann, Olaf&lt;/author&gt;&lt;author&gt;Olschewski, Manfred&lt;/author&gt;&lt;author&gt;Hopt, Ulrich Theodor&lt;/author&gt;&lt;author&gt;Fischer, Andreas&lt;/author&gt;&lt;/authors&gt;&lt;/contributors&gt;&lt;titles&gt;&lt;title&gt;Risk factors and complications following percutaneous endoscopic gastrostomy: a case series of 1041 patients&lt;/title&gt;&lt;secondary-title&gt;Canadian Journal of Gastroenterology and Hepatology&lt;/secondary-title&gt;&lt;/titles&gt;&lt;periodical&gt;&lt;full-title&gt;Canadian Journal of Gastroenterology and Hepatology&lt;/full-title&gt;&lt;/periodical&gt;&lt;pages&gt;201-206&lt;/pages&gt;&lt;volume&gt;25&lt;/volume&gt;&lt;number&gt;4&lt;/number&gt;&lt;dates&gt;&lt;year&gt;2011&lt;/year&gt;&lt;/dates&gt;&lt;isbn&gt;0835-7900&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(32, 33)</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Review of medical records in these three cases showed that they all had at least two risk factors for this complication i.e. old age and </w:t>
      </w:r>
      <w:r>
        <w:rPr>
          <w:rFonts w:asciiTheme="majorBidi" w:eastAsia="Times New Roman" w:hAnsiTheme="majorBidi" w:cstheme="majorBidi"/>
          <w:kern w:val="36"/>
          <w:sz w:val="24"/>
          <w:szCs w:val="24"/>
        </w:rPr>
        <w:lastRenderedPageBreak/>
        <w:t>neurological disorders (CVA). This justifies that why this late complication occurred much sooner than it was expected (a month ago).</w:t>
      </w:r>
    </w:p>
    <w:p w:rsidR="002722C8" w:rsidRDefault="002722C8" w:rsidP="002722C8">
      <w:pPr>
        <w:spacing w:after="0" w:line="480" w:lineRule="auto"/>
        <w:ind w:firstLine="72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Therapeutic alternatives for nutrition other than PEG tube are using percutaneous fluoroscopic gastrostomy (PFG), NG tube, and surgical gastrostomy. PFG is used when the use of PEG is not possible. This method requires gastric distension, which is caused by blowing air into the stomach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&lt;EndNote&gt;&lt;Cite&gt;&lt;Author&gt;Spelsberg&lt;/Author&gt;&lt;Year&gt;2013&lt;/Year&gt;&lt;RecNum&gt;37&lt;/RecNum&gt;&lt;DisplayText&gt;(34)&lt;/DisplayText&gt;&lt;record&gt;&lt;rec-number&gt;37&lt;/rec-number&gt;&lt;foreign-keys&gt;&lt;key app="EN" db-id="2a5vttsxzf9a2qe9vfk50zfq9txpxe9av9rx" timestamp="1486399843"&gt;37&lt;/key&gt;&lt;/foreign-keys&gt;&lt;ref-type name="Journal Article"&gt;17&lt;/ref-type&gt;&lt;contributors&gt;&lt;authors&gt;&lt;author&gt;Spelsberg, Fritz W&lt;/author&gt;&lt;author&gt;Hoffmann, Ralf-Thorsten&lt;/author&gt;&lt;author&gt;Lang, Reinhold A&lt;/author&gt;&lt;author&gt;Winter, Hauke&lt;/author&gt;&lt;author&gt;Weidenhagen, Rolf&lt;/author&gt;&lt;author&gt;Reiser, Maximilian&lt;/author&gt;&lt;author&gt;Jauch, Karl-Walter&lt;/author&gt;&lt;author&gt;Trumm, Christoph&lt;/author&gt;&lt;/authors&gt;&lt;/contributors&gt;&lt;titles&gt;&lt;title&gt;CT fluoroscopy guided percutaneous gastrostomy or jejunostomy without (CT-PG/PJ) or with simultaneous endoscopy (CT-PEG/PEJ) in otherwise untreatable patients&lt;/title&gt;&lt;secondary-title&gt;Surgical endoscopy&lt;/secondary-title&gt;&lt;/titles&gt;&lt;periodical&gt;&lt;full-title&gt;Surgical endoscopy&lt;/full-title&gt;&lt;/periodical&gt;&lt;pages&gt;1186-1195&lt;/pages&gt;&lt;volume&gt;27&lt;/volume&gt;&lt;number&gt;4&lt;/number&gt;&lt;dates&gt;&lt;year&gt;2013&lt;/year&gt;&lt;/dates&gt;&lt;isbn&gt;0930-2794&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(34)</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Among the PFG complications, we can note the damage to the colon and </w:t>
      </w:r>
      <w:proofErr w:type="spellStart"/>
      <w:r>
        <w:rPr>
          <w:rFonts w:asciiTheme="majorBidi" w:eastAsia="Times New Roman" w:hAnsiTheme="majorBidi" w:cstheme="majorBidi"/>
          <w:kern w:val="36"/>
          <w:sz w:val="24"/>
          <w:szCs w:val="24"/>
        </w:rPr>
        <w:t>gastroepiploic</w:t>
      </w:r>
      <w:proofErr w:type="spellEnd"/>
      <w:r>
        <w:rPr>
          <w:rFonts w:asciiTheme="majorBidi" w:eastAsia="Times New Roman" w:hAnsiTheme="majorBidi" w:cstheme="majorBidi"/>
          <w:kern w:val="36"/>
          <w:sz w:val="24"/>
          <w:szCs w:val="24"/>
        </w:rPr>
        <w:t xml:space="preserve"> artery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&lt;EndNote&gt;&lt;Cite&gt;&lt;Author&gt;Covarrubias&lt;/Author&gt;&lt;Year&gt;2013&lt;/Year&gt;&lt;RecNum&gt;38&lt;/RecNum&gt;&lt;DisplayText&gt;(35)&lt;/DisplayText&gt;&lt;record&gt;&lt;rec-number&gt;38&lt;/rec-number&gt;&lt;foreign-keys&gt;&lt;key app="EN" db-id="2a5vttsxzf9a2qe9vfk50zfq9txpxe9av9rx" timestamp="1486399888"&gt;38&lt;/key&gt;&lt;/foreign-keys&gt;&lt;ref-type name="Journal Article"&gt;17&lt;/ref-type&gt;&lt;contributors&gt;&lt;authors&gt;&lt;author&gt;Covarrubias, Diego Antonio&lt;/author&gt;&lt;author&gt;O&amp;apos;Connor, Owen J&lt;/author&gt;&lt;author&gt;McDermott, Shaunagh&lt;/author&gt;&lt;author&gt;Arellano, Ronald S&lt;/author&gt;&lt;/authors&gt;&lt;/contributors&gt;&lt;titles&gt;&lt;title&gt;Radiologic percutaneous gastrostomy: review of potential complications and approach to managing the unexpected outcome&lt;/title&gt;&lt;secondary-title&gt;American Journal of Roentgenology&lt;/secondary-title&gt;&lt;/titles&gt;&lt;periodical&gt;&lt;full-title&gt;American Journal of Roentgenology&lt;/full-title&gt;&lt;/periodical&gt;&lt;pages&gt;921-931&lt;/pages&gt;&lt;volume&gt;200&lt;/volume&gt;&lt;number&gt;4&lt;/number&gt;&lt;dates&gt;&lt;year&gt;2013&lt;/year&gt;&lt;/dates&gt;&lt;isbn&gt;0361-803X&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(35)</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That is why the use of computed tomography (CT) can provide more precise information about the position of the stomach and its surrounding anatomy such as the left hepatic lobe and the transverse colon. It should be noted that the use of CT, despite these benefits, impose more X rays and costs to the patient than endoscopy, but it reduces the risk of technical errors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&lt;EndNote&gt;&lt;Cite&gt;&lt;Author&gt;Bravo&lt;/Author&gt;&lt;Year&gt;2016&lt;/Year&gt;&lt;RecNum&gt;40&lt;/RecNum&gt;&lt;DisplayText&gt;(36)&lt;/DisplayText&gt;&lt;record&gt;&lt;rec-number&gt;40&lt;/rec-number&gt;&lt;foreign-keys&gt;&lt;key app="EN" db-id="2a5vttsxzf9a2qe9vfk50zfq9txpxe9av9rx" timestamp="1486399988"&gt;40&lt;/key&gt;&lt;/foreign-keys&gt;&lt;ref-type name="Journal Article"&gt;17&lt;/ref-type&gt;&lt;contributors&gt;&lt;authors&gt;&lt;author&gt;Bravo, José Gonçalves Pereira&lt;/author&gt;&lt;author&gt;Ide, Edson&lt;/author&gt;&lt;author&gt;Kondo, Andre&lt;/author&gt;&lt;author&gt;Moura, Diogo Turiani Hourneaux de&lt;/author&gt;&lt;author&gt;Moura, Eduardo Turiani Hourneaux de&lt;/author&gt;&lt;author&gt;Sakai, Paulo&lt;/author&gt;&lt;author&gt;Bernardo, Wanderley Marques&lt;/author&gt;&lt;author&gt;Moura, Eduardo Guimarães Hourneaux de&lt;/author&gt;&lt;/authors&gt;&lt;/contributors&gt;&lt;titles&gt;&lt;title&gt;Percutaneous endoscopic versus surgical gastrostomy in patients with benign and malignant diseases: a systematic review and meta-analysis&lt;/title&gt;&lt;secondary-title&gt;Clinics&lt;/secondary-title&gt;&lt;/titles&gt;&lt;periodical&gt;&lt;full-title&gt;Clinics&lt;/full-title&gt;&lt;/periodical&gt;&lt;pages&gt;169-178&lt;/pages&gt;&lt;volume&gt;71&lt;/volume&gt;&lt;number&gt;3&lt;/number&gt;&lt;dates&gt;&lt;year&gt;2016&lt;/year&gt;&lt;/dates&gt;&lt;isbn&gt;1807-5932&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(36)</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NG tube is another method in which a thin tube is entered into the stomach through the nasal cavity to deliver foods. The method seems good as one of the first ways to deliver food to the stomach for short time, but it can neither deliver large foods to the stomach nor can it be used for a long time. In our study, 92 patients (94.2%) used NG tube before referral for PEG tube placement. Although some studies have concluded that it cannot be surely said that the use of</w:t>
      </w:r>
      <w:r>
        <w:t xml:space="preserve"> </w:t>
      </w:r>
      <w:r>
        <w:rPr>
          <w:rFonts w:asciiTheme="majorBidi" w:eastAsia="Times New Roman" w:hAnsiTheme="majorBidi" w:cstheme="majorBidi"/>
          <w:kern w:val="36"/>
          <w:sz w:val="24"/>
          <w:szCs w:val="24"/>
        </w:rPr>
        <w:t xml:space="preserve">percutaneous gastrostomy methods is better than NG tube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&lt;EndNote&gt;&lt;Cite&gt;&lt;Author&gt;Wang&lt;/Author&gt;&lt;Year&gt;2014&lt;/Year&gt;&lt;RecNum&gt;41&lt;/RecNum&gt;&lt;DisplayText&gt;(37)&lt;/DisplayText&gt;&lt;record&gt;&lt;rec-number&gt;41&lt;/rec-number&gt;&lt;foreign-keys&gt;&lt;key app="EN" db-id="2a5vttsxzf9a2qe9vfk50zfq9txpxe9av9rx" timestamp="1486400025"&gt;41&lt;/key&gt;&lt;/foreign-keys&gt;&lt;ref-type name="Journal Article"&gt;17&lt;/ref-type&gt;&lt;contributors&gt;&lt;authors&gt;&lt;author&gt;Wang, Jinfeng&lt;/author&gt;&lt;author&gt;Liu, Minjie&lt;/author&gt;&lt;author&gt;Liu, Chao&lt;/author&gt;&lt;author&gt;Ye, Yun&lt;/author&gt;&lt;author&gt;Huang, Guanhong&lt;/author&gt;&lt;/authors&gt;&lt;/contributors&gt;&lt;titles&gt;&lt;title&gt;Percutaneous endoscopic gastrostomy versus nasogastric tube feeding for patients with head and neck cancer: a systematic review&lt;/title&gt;&lt;secondary-title&gt;Journal of radiation research&lt;/secondary-title&gt;&lt;/titles&gt;&lt;periodical&gt;&lt;full-title&gt;Journal of radiation research&lt;/full-title&gt;&lt;/periodical&gt;&lt;pages&gt;rrt144&lt;/pages&gt;&lt;dates&gt;&lt;year&gt;2014&lt;/year&gt;&lt;/dates&gt;&lt;isbn&gt;0449-3060&lt;/isbn&gt;&lt;urls&gt;&lt;/urls&gt;&lt;/record&gt;&lt;/Cite&gt;&lt;/EndNote&gt;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(37)</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some authors believe that the use of percutaneous methods, due to lower intervention failure are safer and more effective than NG tube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&lt;EndNote&gt;&lt;Cite&gt;&lt;Author&gt;Gomes Jr&lt;/Author&gt;&lt;Year&gt;2010&lt;/Year&gt;&lt;RecNum&gt;44&lt;/RecNum&gt;&lt;DisplayText&gt;(38, 39)&lt;/DisplayText&gt;&lt;record&gt;&lt;rec-number&gt;44&lt;/rec-number&gt;&lt;foreign-keys&gt;&lt;key app="EN" db-id="2a5vttsxzf9a2qe9vfk50zfq9txpxe9av9rx" timestamp="1486400264"&gt;44&lt;/key&gt;&lt;/foreign-keys&gt;&lt;ref-type name="Journal Article"&gt;17&lt;/ref-type&gt;&lt;contributors&gt;&lt;authors&gt;&lt;author&gt;Gomes Jr, Claudio AR&lt;/author&gt;&lt;author&gt;Lustosa, Suzana Angelica Silva&lt;/author&gt;&lt;author&gt;Matos, Delcio&lt;/author&gt;&lt;author&gt;Andriolo, Regis B&lt;/author&gt;&lt;author&gt;Waisberg, Daniel R&lt;/author&gt;&lt;author&gt;Waisberg, Jaques&lt;/author&gt;&lt;/authors&gt;&lt;/contributors&gt;&lt;titles&gt;&lt;title&gt;Percutaneous endoscopic gastrostomy versus nasogastric tube feeding for adults with swallowing disturbances&lt;/title&gt;&lt;secondary-title&gt;The Cochrane Library&lt;/secondary-title&gt;&lt;/titles&gt;&lt;periodical&gt;&lt;full-title&gt;The Cochrane Library&lt;/full-title&gt;&lt;/periodical&gt;&lt;dates&gt;&lt;year&gt;2010&lt;/year&gt;&lt;/dates&gt;&lt;isbn&gt;1465-1858&lt;/isbn&gt;&lt;urls&gt;&lt;/urls&gt;&lt;/record&gt;&lt;/Cite&gt;&lt;Cite&gt;&lt;Author&gt;Gomes Jr&lt;/Author&gt;&lt;Year&gt;2015&lt;/Year&gt;&lt;RecNum&gt;45&lt;/RecNum&gt;&lt;record&gt;&lt;rec-number&gt;45&lt;/rec-number&gt;&lt;foreign-keys&gt;&lt;key app="EN" db-id="2a5vttsxzf9a2qe9vfk50zfq9txpxe9av9rx" timestamp="1486400271"&gt;45&lt;/key&gt;&lt;/foreign-keys&gt;&lt;ref-type name="Journal Article"&gt;17&lt;/ref-type&gt;&lt;contributors&gt;&lt;authors&gt;&lt;author&gt;Gomes Jr, Claudio AR&lt;/author&gt;&lt;author&gt;Andriolo, Régis B&lt;/author&gt;&lt;author&gt;Bennett, Cathy&lt;/author&gt;&lt;author&gt;Lustosa, Suzana AS&lt;/author&gt;&lt;author&gt;Matos, Delcio&lt;/author&gt;&lt;author&gt;Waisberg, Daniel R&lt;/author&gt;&lt;author&gt;Waisberg, Jaques&lt;/author&gt;&lt;/authors&gt;&lt;/contributors&gt;&lt;titles&gt;&lt;title&gt;Percutaneous endoscopic gastrostomy versus nasogastric tube feeding for adults with swallowing disturbances&lt;/title&gt;&lt;secondary-title&gt;The Cochrane Library&lt;/secondary-title&gt;&lt;/titles&gt;&lt;periodical&gt;&lt;full-title&gt;The Cochrane Library&lt;/full-title&gt;&lt;/periodical&gt;&lt;dates&gt;&lt;year&gt;2015&lt;/year&gt;&lt;/dates&gt;&lt;isbn&gt;1465-1858&lt;/isbn&gt;&lt;urls&gt;&lt;/urls&gt;&lt;/record&gt;&lt;/Cite&gt;&lt;/EndNote&gt;</w:instrText>
      </w:r>
      <w:r>
        <w:rPr>
          <w:rFonts w:asciiTheme="majorBidi" w:eastAsia="Times New Roman" w:hAnsiTheme="majorBidi" w:cstheme="majorBidi"/>
          <w:kern w:val="36"/>
          <w:sz w:val="24"/>
          <w:szCs w:val="24"/>
        </w:rPr>
        <w:fldChar w:fldCharType="separate"/>
      </w:r>
      <w:r w:rsidR="00C45DB9">
        <w:rPr>
          <w:rFonts w:asciiTheme="majorBidi" w:eastAsia="Times New Roman" w:hAnsiTheme="majorBidi" w:cstheme="majorBidi"/>
          <w:noProof/>
          <w:kern w:val="36"/>
          <w:sz w:val="24"/>
          <w:szCs w:val="24"/>
        </w:rPr>
        <w:t>(38,</w:t>
      </w:r>
      <w:r>
        <w:rPr>
          <w:rFonts w:asciiTheme="majorBidi" w:eastAsia="Times New Roman" w:hAnsiTheme="majorBidi" w:cstheme="majorBidi"/>
          <w:noProof/>
          <w:kern w:val="36"/>
          <w:sz w:val="24"/>
          <w:szCs w:val="24"/>
        </w:rPr>
        <w:t>39)</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Also, some recent studies have shown that using surgery is not much different than PEG in terms of complications and mortality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&lt;EndNote&gt;&lt;Cite&gt;&lt;Author&gt;Bravo&lt;/Author&gt;&lt;Year&gt;2016&lt;/Year&gt;&lt;RecNum&gt;40&lt;/RecNum&gt;&lt;DisplayText&gt;(36)&lt;/DisplayText&gt;&lt;record&gt;&lt;rec-number&gt;40&lt;/rec-number&gt;&lt;foreign-keys&gt;&lt;key app="EN" db-id="2a5vttsxzf9a2qe9vfk50zfq9txpxe9av9rx" timestamp="1486399988"&gt;40&lt;/key&gt;&lt;/foreign-keys&gt;&lt;ref-type name="Journal Article"&gt;17&lt;/ref-type&gt;&lt;contributors&gt;&lt;authors&gt;&lt;author&gt;Bravo, José Gonçalves Pereira&lt;/author&gt;&lt;author&gt;Ide, Edson&lt;/author&gt;&lt;author&gt;Kondo, Andre&lt;/author&gt;&lt;author&gt;Moura, Diogo Turiani Hourneaux de&lt;/author&gt;&lt;author&gt;Moura, Eduardo Turiani Hourneaux de&lt;/author&gt;&lt;author&gt;Sakai, Paulo&lt;/author&gt;&lt;author&gt;Bernardo, Wanderley Marques&lt;/author&gt;&lt;author&gt;Moura, Eduardo Guimarães Hourneaux de&lt;/author&gt;&lt;/authors&gt;&lt;/contributors&gt;&lt;titles&gt;&lt;title&gt;Percutaneous endoscopic versus surgical gastrostomy in patients with benign and malignant diseases: a systematic review and meta-analysis&lt;/title&gt;&lt;secondary-title&gt;Clinics&lt;/secondary-title&gt;&lt;/titles&gt;&lt;periodical&gt;&lt;full-title&gt;Clinics&lt;/full-title&gt;&lt;/periodical&gt;&lt;pages&gt;169-178&lt;/pages&gt;&lt;volume&gt;71&lt;/volume&gt;&lt;number&gt;3&lt;/number&gt;&lt;dates&gt;&lt;year&gt;2016&lt;/year&gt;&lt;/dates&gt;&lt;isbn&gt;1807-5932&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(36)</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and is a safe, easy, and simple method </w:t>
      </w:r>
      <w:r>
        <w:rPr>
          <w:rFonts w:asciiTheme="majorBidi" w:eastAsia="Times New Roman" w:hAnsiTheme="majorBidi" w:cstheme="majorBidi"/>
          <w:kern w:val="36"/>
          <w:sz w:val="24"/>
          <w:szCs w:val="24"/>
        </w:rPr>
        <w:fldChar w:fldCharType="begin"/>
      </w:r>
      <w:r>
        <w:rPr>
          <w:rFonts w:asciiTheme="majorBidi" w:eastAsia="Times New Roman" w:hAnsiTheme="majorBidi" w:cstheme="majorBidi"/>
          <w:kern w:val="36"/>
          <w:sz w:val="24"/>
          <w:szCs w:val="24"/>
        </w:rPr>
        <w:instrText xml:space="preserve"> ADDIN EN.CITE &lt;EndNote&gt;&lt;Cite&gt;&lt;Author&gt;Souza&lt;/Author&gt;&lt;Year&gt;2016&lt;/Year&gt;&lt;RecNum&gt;47&lt;/RecNum&gt;&lt;DisplayText&gt;(40)&lt;/DisplayText&gt;&lt;record&gt;&lt;rec-number&gt;47&lt;/rec-number&gt;&lt;foreign-keys&gt;&lt;key app="EN" db-id="2a5vttsxzf9a2qe9vfk50zfq9txpxe9av9rx" timestamp="1486400351"&gt;47&lt;/key&gt;&lt;/foreign-keys&gt;&lt;ref-type name="Journal Article"&gt;17&lt;/ref-type&gt;&lt;contributors&gt;&lt;authors&gt;&lt;author&gt;Souza, Emmanuel Conrado&lt;/author&gt;&lt;/authors&gt;&lt;/contributors&gt;&lt;titles&gt;&lt;title&gt;SURGICAL GASTROSTOMY BASED ON ENDOSCOPIC CONCEPTS&lt;/title&gt;&lt;secondary-title&gt;ABCD. Arquivos Brasileiros de Cirurgia Digestiva (São Paulo)&lt;/secondary-title&gt;&lt;/titles&gt;&lt;periodical&gt;&lt;full-title&gt;ABCD. Arquivos Brasileiros de Cirurgia Digestiva (São Paulo)&lt;/full-title&gt;&lt;/periodical&gt;&lt;pages&gt;50-52&lt;/pages&gt;&lt;volume&gt;29&lt;/volume&gt;&lt;number&gt;1&lt;/number&gt;&lt;dates&gt;&lt;year&gt;2016&lt;/year&gt;&lt;/dates&gt;&lt;isbn&gt;0102-6720&lt;/isbn&gt;&lt;urls&gt;&lt;/urls&gt;&lt;/record&gt;&lt;/Cite&gt;&lt;/EndNote&gt;</w:instrText>
      </w:r>
      <w:r>
        <w:rPr>
          <w:rFonts w:asciiTheme="majorBidi" w:eastAsia="Times New Roman" w:hAnsiTheme="majorBidi" w:cstheme="majorBidi"/>
          <w:kern w:val="36"/>
          <w:sz w:val="24"/>
          <w:szCs w:val="24"/>
        </w:rPr>
        <w:fldChar w:fldCharType="separate"/>
      </w:r>
      <w:r>
        <w:rPr>
          <w:rFonts w:asciiTheme="majorBidi" w:eastAsia="Times New Roman" w:hAnsiTheme="majorBidi" w:cstheme="majorBidi"/>
          <w:noProof/>
          <w:kern w:val="36"/>
          <w:sz w:val="24"/>
          <w:szCs w:val="24"/>
        </w:rPr>
        <w:t>(40)</w:t>
      </w:r>
      <w:r>
        <w:rPr>
          <w:rFonts w:asciiTheme="majorBidi" w:eastAsia="Times New Roman" w:hAnsiTheme="majorBidi" w:cstheme="majorBidi"/>
          <w:kern w:val="36"/>
          <w:sz w:val="24"/>
          <w:szCs w:val="24"/>
        </w:rPr>
        <w:fldChar w:fldCharType="end"/>
      </w:r>
      <w:r>
        <w:rPr>
          <w:rFonts w:asciiTheme="majorBidi" w:eastAsia="Times New Roman" w:hAnsiTheme="majorBidi" w:cstheme="majorBidi"/>
          <w:kern w:val="36"/>
          <w:sz w:val="24"/>
          <w:szCs w:val="24"/>
        </w:rPr>
        <w:t xml:space="preserve">, although using PEG tube can also be considered because it does not need overnight hospital admission, general anesthesia, and/or laparotomy. It can be done in a short time (less than 15 minutes for placement), has less tissue damage, and feeding can be started immediately after tube placement. The shortest period of using PEG tube in our study was a month that was for a </w:t>
      </w:r>
      <w:r>
        <w:rPr>
          <w:rFonts w:asciiTheme="majorBidi" w:eastAsia="Times New Roman" w:hAnsiTheme="majorBidi" w:cstheme="majorBidi"/>
          <w:kern w:val="36"/>
          <w:sz w:val="24"/>
          <w:szCs w:val="24"/>
        </w:rPr>
        <w:lastRenderedPageBreak/>
        <w:t xml:space="preserve">patient with trauma who died one month after tube placement. The longest period for using it was 3 years, which the tube was replaced once and is still, being </w:t>
      </w:r>
      <w:proofErr w:type="gramStart"/>
      <w:r>
        <w:rPr>
          <w:rFonts w:asciiTheme="majorBidi" w:eastAsia="Times New Roman" w:hAnsiTheme="majorBidi" w:cstheme="majorBidi"/>
          <w:kern w:val="36"/>
          <w:sz w:val="24"/>
          <w:szCs w:val="24"/>
        </w:rPr>
        <w:t>used.</w:t>
      </w:r>
      <w:proofErr w:type="gramEnd"/>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Pr="00C45DB9" w:rsidRDefault="002722C8" w:rsidP="002722C8">
      <w:pPr>
        <w:spacing w:after="0" w:line="480" w:lineRule="auto"/>
        <w:jc w:val="both"/>
        <w:outlineLvl w:val="0"/>
        <w:rPr>
          <w:rFonts w:asciiTheme="majorBidi" w:eastAsia="Times New Roman" w:hAnsiTheme="majorBidi" w:cstheme="majorBidi"/>
          <w:b/>
          <w:bCs/>
          <w:kern w:val="36"/>
          <w:sz w:val="24"/>
          <w:szCs w:val="24"/>
        </w:rPr>
      </w:pPr>
      <w:r w:rsidRPr="00C45DB9">
        <w:rPr>
          <w:rFonts w:asciiTheme="majorBidi" w:eastAsia="Times New Roman" w:hAnsiTheme="majorBidi" w:cstheme="majorBidi"/>
          <w:b/>
          <w:bCs/>
          <w:kern w:val="36"/>
          <w:sz w:val="24"/>
          <w:szCs w:val="24"/>
        </w:rPr>
        <w:t>Limitations:</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One of the limitations in this study was the lack of detailed information of objective nutritional parameters and therefore its changes cannot be evaluated before and after PEG tube placement. Because </w:t>
      </w:r>
      <w:proofErr w:type="spellStart"/>
      <w:r>
        <w:rPr>
          <w:rFonts w:asciiTheme="majorBidi" w:eastAsia="Times New Roman" w:hAnsiTheme="majorBidi" w:cstheme="majorBidi"/>
          <w:kern w:val="36"/>
          <w:sz w:val="24"/>
          <w:szCs w:val="24"/>
        </w:rPr>
        <w:t>Shahid</w:t>
      </w:r>
      <w:proofErr w:type="spellEnd"/>
      <w:r>
        <w:rPr>
          <w:rFonts w:asciiTheme="majorBidi" w:eastAsia="Times New Roman" w:hAnsiTheme="majorBidi" w:cstheme="majorBidi"/>
          <w:kern w:val="36"/>
          <w:sz w:val="24"/>
          <w:szCs w:val="24"/>
        </w:rPr>
        <w:t xml:space="preserve"> </w:t>
      </w:r>
      <w:proofErr w:type="spellStart"/>
      <w:r>
        <w:rPr>
          <w:rFonts w:asciiTheme="majorBidi" w:eastAsia="Times New Roman" w:hAnsiTheme="majorBidi" w:cstheme="majorBidi"/>
          <w:kern w:val="36"/>
          <w:sz w:val="24"/>
          <w:szCs w:val="24"/>
        </w:rPr>
        <w:t>Sadoughi</w:t>
      </w:r>
      <w:proofErr w:type="spellEnd"/>
      <w:r>
        <w:rPr>
          <w:rFonts w:asciiTheme="majorBidi" w:eastAsia="Times New Roman" w:hAnsiTheme="majorBidi" w:cstheme="majorBidi"/>
          <w:kern w:val="36"/>
          <w:sz w:val="24"/>
          <w:szCs w:val="24"/>
        </w:rPr>
        <w:t xml:space="preserve"> Training Hospital in Yazd is considered as a referral center in central and South East of Iran, many patients are not habitants of Yazd and follow-up of these patients was only possible through phone calls. This causes limitations in long-term follow-up and evaluation of various parameters related to their health status.</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Pr="00C45DB9" w:rsidRDefault="002722C8" w:rsidP="002722C8">
      <w:pPr>
        <w:spacing w:after="0" w:line="480" w:lineRule="auto"/>
        <w:jc w:val="both"/>
        <w:outlineLvl w:val="0"/>
        <w:rPr>
          <w:rFonts w:asciiTheme="majorBidi" w:eastAsia="Times New Roman" w:hAnsiTheme="majorBidi" w:cstheme="majorBidi"/>
          <w:b/>
          <w:bCs/>
          <w:kern w:val="36"/>
          <w:sz w:val="24"/>
          <w:szCs w:val="24"/>
        </w:rPr>
      </w:pPr>
      <w:r w:rsidRPr="00C45DB9">
        <w:rPr>
          <w:rFonts w:asciiTheme="majorBidi" w:eastAsia="Times New Roman" w:hAnsiTheme="majorBidi" w:cstheme="majorBidi"/>
          <w:b/>
          <w:bCs/>
          <w:kern w:val="36"/>
          <w:sz w:val="24"/>
          <w:szCs w:val="24"/>
        </w:rPr>
        <w:t>Suggestions</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According to the study we performed, to further review of PEG tube method and compare it with other alternatives, it is suggested that future studies review the following categories:</w:t>
      </w:r>
    </w:p>
    <w:p w:rsidR="002722C8" w:rsidRDefault="002722C8" w:rsidP="002722C8">
      <w:pPr>
        <w:pStyle w:val="ListParagraph"/>
        <w:spacing w:after="0" w:line="480" w:lineRule="auto"/>
        <w:ind w:left="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1. Review and comparison of the complications and costs of surgical gastrostomy with PEG tube </w:t>
      </w:r>
    </w:p>
    <w:p w:rsidR="002722C8" w:rsidRDefault="002722C8" w:rsidP="002722C8">
      <w:pPr>
        <w:pStyle w:val="ListParagraph"/>
        <w:spacing w:after="0" w:line="480" w:lineRule="auto"/>
        <w:ind w:left="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2. Review and comparison of the complications and costs of N.G Tube with PEG tube</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3. Review of early PEG tube placement in patients with indication and comparison of its costs and complications with its delayed placement (after one month)</w:t>
      </w:r>
    </w:p>
    <w:p w:rsidR="002722C8" w:rsidRDefault="002722C8" w:rsidP="002722C8">
      <w:pPr>
        <w:pStyle w:val="ListParagraph"/>
        <w:spacing w:after="0" w:line="480" w:lineRule="auto"/>
        <w:ind w:left="0"/>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4. Review of PEG tube placement on the quality of life of patients and its comparison with surgery</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Pr="00C45DB9" w:rsidRDefault="00C45DB9" w:rsidP="002722C8">
      <w:pPr>
        <w:spacing w:after="0" w:line="480" w:lineRule="auto"/>
        <w:jc w:val="both"/>
        <w:outlineLvl w:val="0"/>
        <w:rPr>
          <w:rFonts w:asciiTheme="majorBidi" w:eastAsia="Times New Roman" w:hAnsiTheme="majorBidi" w:cstheme="majorBidi"/>
          <w:color w:val="00B0F0"/>
          <w:kern w:val="36"/>
          <w:sz w:val="24"/>
          <w:szCs w:val="24"/>
        </w:rPr>
      </w:pPr>
      <w:r w:rsidRPr="00C45DB9">
        <w:rPr>
          <w:rFonts w:asciiTheme="majorBidi" w:eastAsia="Times New Roman" w:hAnsiTheme="majorBidi" w:cstheme="majorBidi"/>
          <w:color w:val="00B0F0"/>
          <w:kern w:val="36"/>
          <w:sz w:val="24"/>
          <w:szCs w:val="24"/>
        </w:rPr>
        <w:t>CONCLUSION</w:t>
      </w:r>
    </w:p>
    <w:p w:rsidR="002722C8" w:rsidRPr="00C45DB9" w:rsidRDefault="002722C8" w:rsidP="00C45DB9">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The results of this study show that the most indications for PEG tube placements are neurological diseases and CVA. The most frequent complication of this method in our study </w:t>
      </w:r>
      <w:r>
        <w:rPr>
          <w:rFonts w:asciiTheme="majorBidi" w:eastAsia="Times New Roman" w:hAnsiTheme="majorBidi" w:cstheme="majorBidi"/>
          <w:kern w:val="36"/>
          <w:sz w:val="24"/>
          <w:szCs w:val="24"/>
        </w:rPr>
        <w:lastRenderedPageBreak/>
        <w:t xml:space="preserve">was infection in the site of tube entry to the skin. However, the complications of this method was small compared with its benefits and in patients who have long-term ingestion problem, it is a very convenient nutritional method with early discharge of patients from hospitals and particularly from intensive care units, leading to reduced complications, costs, and length of hospital stay. By training patients’ relatives on how to treat and </w:t>
      </w:r>
      <w:proofErr w:type="spellStart"/>
      <w:r>
        <w:rPr>
          <w:rFonts w:asciiTheme="majorBidi" w:eastAsia="Times New Roman" w:hAnsiTheme="majorBidi" w:cstheme="majorBidi"/>
          <w:kern w:val="36"/>
          <w:sz w:val="24"/>
          <w:szCs w:val="24"/>
        </w:rPr>
        <w:t>care</w:t>
      </w:r>
      <w:proofErr w:type="spellEnd"/>
      <w:r>
        <w:rPr>
          <w:rFonts w:asciiTheme="majorBidi" w:eastAsia="Times New Roman" w:hAnsiTheme="majorBidi" w:cstheme="majorBidi"/>
          <w:kern w:val="36"/>
          <w:sz w:val="24"/>
          <w:szCs w:val="24"/>
        </w:rPr>
        <w:t xml:space="preserve"> the gastrostomy tube and wound site, especially in the first few weeks, the complications can be minimized.</w:t>
      </w:r>
    </w:p>
    <w:p w:rsidR="002722C8" w:rsidRDefault="002722C8" w:rsidP="002722C8">
      <w:pPr>
        <w:spacing w:after="0" w:line="480" w:lineRule="auto"/>
        <w:jc w:val="both"/>
        <w:outlineLvl w:val="0"/>
        <w:rPr>
          <w:rFonts w:asciiTheme="majorBidi" w:eastAsia="Times New Roman" w:hAnsiTheme="majorBidi" w:cstheme="majorBidi"/>
          <w:b/>
          <w:bCs/>
          <w:kern w:val="36"/>
          <w:sz w:val="24"/>
          <w:szCs w:val="24"/>
        </w:rPr>
      </w:pPr>
    </w:p>
    <w:p w:rsidR="002722C8" w:rsidRPr="00C45DB9" w:rsidRDefault="00C45DB9" w:rsidP="002722C8">
      <w:pPr>
        <w:spacing w:after="0" w:line="480" w:lineRule="auto"/>
        <w:jc w:val="both"/>
        <w:outlineLvl w:val="0"/>
        <w:rPr>
          <w:rFonts w:asciiTheme="majorBidi" w:eastAsia="Times New Roman" w:hAnsiTheme="majorBidi" w:cstheme="majorBidi"/>
          <w:color w:val="00B0F0"/>
          <w:kern w:val="36"/>
          <w:sz w:val="24"/>
          <w:szCs w:val="24"/>
        </w:rPr>
      </w:pPr>
      <w:r w:rsidRPr="00C45DB9">
        <w:rPr>
          <w:rFonts w:asciiTheme="majorBidi" w:eastAsia="Times New Roman" w:hAnsiTheme="majorBidi" w:cstheme="majorBidi"/>
          <w:color w:val="00B0F0"/>
          <w:kern w:val="36"/>
          <w:sz w:val="24"/>
          <w:szCs w:val="24"/>
        </w:rPr>
        <w:t>ACKNOWLEDGEMENT:</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We would like to thank the personnel of the Endoscopy Department of </w:t>
      </w:r>
      <w:proofErr w:type="spellStart"/>
      <w:r>
        <w:rPr>
          <w:rFonts w:asciiTheme="majorBidi" w:eastAsia="Times New Roman" w:hAnsiTheme="majorBidi" w:cstheme="majorBidi"/>
          <w:kern w:val="36"/>
          <w:sz w:val="24"/>
          <w:szCs w:val="24"/>
        </w:rPr>
        <w:t>Shahid</w:t>
      </w:r>
      <w:proofErr w:type="spellEnd"/>
      <w:r>
        <w:rPr>
          <w:rFonts w:asciiTheme="majorBidi" w:eastAsia="Times New Roman" w:hAnsiTheme="majorBidi" w:cstheme="majorBidi"/>
          <w:kern w:val="36"/>
          <w:sz w:val="24"/>
          <w:szCs w:val="24"/>
        </w:rPr>
        <w:t xml:space="preserve"> </w:t>
      </w:r>
      <w:proofErr w:type="spellStart"/>
      <w:r>
        <w:rPr>
          <w:rFonts w:asciiTheme="majorBidi" w:eastAsia="Times New Roman" w:hAnsiTheme="majorBidi" w:cstheme="majorBidi"/>
          <w:kern w:val="36"/>
          <w:sz w:val="24"/>
          <w:szCs w:val="24"/>
        </w:rPr>
        <w:t>Sadoughi</w:t>
      </w:r>
      <w:proofErr w:type="spellEnd"/>
      <w:r>
        <w:rPr>
          <w:rFonts w:asciiTheme="majorBidi" w:eastAsia="Times New Roman" w:hAnsiTheme="majorBidi" w:cstheme="majorBidi"/>
          <w:kern w:val="36"/>
          <w:sz w:val="24"/>
          <w:szCs w:val="24"/>
        </w:rPr>
        <w:t xml:space="preserve"> Hospital who well cooperated with us on this project. We also appreciate Dr. Masoud </w:t>
      </w:r>
      <w:proofErr w:type="spellStart"/>
      <w:r>
        <w:rPr>
          <w:rFonts w:asciiTheme="majorBidi" w:eastAsia="Times New Roman" w:hAnsiTheme="majorBidi" w:cstheme="majorBidi"/>
          <w:kern w:val="36"/>
          <w:sz w:val="24"/>
          <w:szCs w:val="24"/>
        </w:rPr>
        <w:t>Rahimian</w:t>
      </w:r>
      <w:proofErr w:type="spellEnd"/>
      <w:r>
        <w:rPr>
          <w:rFonts w:asciiTheme="majorBidi" w:eastAsia="Times New Roman" w:hAnsiTheme="majorBidi" w:cstheme="majorBidi"/>
          <w:kern w:val="36"/>
          <w:sz w:val="24"/>
          <w:szCs w:val="24"/>
        </w:rPr>
        <w:t xml:space="preserve"> who kindly helped us in designing the study and parameters.</w:t>
      </w:r>
    </w:p>
    <w:p w:rsidR="002722C8" w:rsidRDefault="002722C8" w:rsidP="002722C8">
      <w:pPr>
        <w:spacing w:after="0" w:line="480" w:lineRule="auto"/>
        <w:jc w:val="both"/>
        <w:outlineLvl w:val="0"/>
        <w:rPr>
          <w:rFonts w:asciiTheme="majorBidi" w:eastAsia="Times New Roman" w:hAnsiTheme="majorBidi" w:cstheme="majorBidi"/>
          <w:kern w:val="36"/>
          <w:sz w:val="24"/>
          <w:szCs w:val="24"/>
        </w:rPr>
      </w:pPr>
    </w:p>
    <w:p w:rsidR="002722C8" w:rsidRPr="00C45DB9" w:rsidRDefault="00C45DB9" w:rsidP="002722C8">
      <w:pPr>
        <w:autoSpaceDE w:val="0"/>
        <w:autoSpaceDN w:val="0"/>
        <w:adjustRightInd w:val="0"/>
        <w:spacing w:line="360" w:lineRule="auto"/>
        <w:rPr>
          <w:rFonts w:ascii="Times New Roman" w:hAnsi="Times New Roman" w:cs="Times New Roman"/>
          <w:color w:val="00B0F0"/>
          <w:sz w:val="24"/>
          <w:szCs w:val="24"/>
        </w:rPr>
      </w:pPr>
      <w:r w:rsidRPr="00C45DB9">
        <w:rPr>
          <w:rFonts w:ascii="Times New Roman" w:hAnsi="Times New Roman" w:cs="Times New Roman"/>
          <w:color w:val="00B0F0"/>
          <w:sz w:val="24"/>
          <w:szCs w:val="24"/>
        </w:rPr>
        <w:t xml:space="preserve">CONFLICT OF INTEREST: </w:t>
      </w:r>
    </w:p>
    <w:p w:rsidR="002722C8" w:rsidRPr="00813945" w:rsidRDefault="002722C8" w:rsidP="0081394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The authors declare that they have no competing interests.</w:t>
      </w:r>
    </w:p>
    <w:p w:rsidR="002722C8" w:rsidRPr="00C45DB9" w:rsidRDefault="00C45DB9" w:rsidP="002722C8">
      <w:pPr>
        <w:spacing w:line="360" w:lineRule="auto"/>
        <w:ind w:hanging="1"/>
        <w:rPr>
          <w:rFonts w:ascii="Times New Roman" w:hAnsi="Times New Roman" w:cs="B Nazanin"/>
          <w:color w:val="00B0F0"/>
          <w:sz w:val="24"/>
          <w:szCs w:val="26"/>
        </w:rPr>
      </w:pPr>
      <w:r w:rsidRPr="00C45DB9">
        <w:rPr>
          <w:rFonts w:ascii="Times New Roman" w:hAnsi="Times New Roman" w:cs="B Nazanin"/>
          <w:color w:val="00B0F0"/>
          <w:sz w:val="24"/>
          <w:szCs w:val="26"/>
        </w:rPr>
        <w:t>REFERENCES:</w:t>
      </w:r>
    </w:p>
    <w:p w:rsidR="002722C8" w:rsidRPr="007D373F" w:rsidRDefault="002722C8" w:rsidP="00975E66">
      <w:pPr>
        <w:pStyle w:val="EndNoteBibliography"/>
        <w:rPr>
          <w:rFonts w:asciiTheme="majorBidi" w:hAnsiTheme="majorBidi" w:cstheme="majorBidi"/>
          <w:rtl/>
        </w:rPr>
      </w:pPr>
      <w:r w:rsidRPr="007D373F">
        <w:rPr>
          <w:rFonts w:asciiTheme="majorBidi" w:eastAsia="Times New Roman" w:hAnsiTheme="majorBidi" w:cstheme="majorBidi"/>
          <w:kern w:val="36"/>
        </w:rPr>
        <w:fldChar w:fldCharType="begin"/>
      </w:r>
      <w:r w:rsidRPr="007D373F">
        <w:rPr>
          <w:rFonts w:asciiTheme="majorBidi" w:eastAsia="Times New Roman" w:hAnsiTheme="majorBidi" w:cstheme="majorBidi"/>
          <w:kern w:val="36"/>
        </w:rPr>
        <w:instrText xml:space="preserve"> ADDIN EN.REFLIST </w:instrText>
      </w:r>
      <w:r w:rsidRPr="007D373F">
        <w:rPr>
          <w:rFonts w:asciiTheme="majorBidi" w:eastAsia="Times New Roman" w:hAnsiTheme="majorBidi" w:cstheme="majorBidi"/>
          <w:kern w:val="36"/>
        </w:rPr>
        <w:fldChar w:fldCharType="separate"/>
      </w:r>
      <w:r w:rsidR="00C45DB9" w:rsidRPr="007D373F">
        <w:rPr>
          <w:rFonts w:asciiTheme="majorBidi" w:hAnsiTheme="majorBidi" w:cstheme="majorBidi"/>
        </w:rPr>
        <w:t>1.</w:t>
      </w:r>
      <w:r w:rsidRPr="007D373F">
        <w:rPr>
          <w:rFonts w:asciiTheme="majorBidi" w:hAnsiTheme="majorBidi" w:cstheme="majorBidi"/>
        </w:rPr>
        <w:t>Kozeniecki M, Fritzshall R. Enteral nutrition for adults in the hospital setting. Nutr Clin</w:t>
      </w:r>
      <w:r w:rsidR="00975E66" w:rsidRPr="007D373F">
        <w:rPr>
          <w:rFonts w:asciiTheme="majorBidi" w:hAnsiTheme="majorBidi" w:cstheme="majorBidi"/>
        </w:rPr>
        <w:t xml:space="preserve"> </w:t>
      </w:r>
      <w:r w:rsidRPr="007D373F">
        <w:rPr>
          <w:rFonts w:asciiTheme="majorBidi" w:hAnsiTheme="majorBidi" w:cstheme="majorBidi"/>
        </w:rPr>
        <w:t>Prac 2015;30:634-51.</w:t>
      </w:r>
    </w:p>
    <w:p w:rsidR="002722C8" w:rsidRPr="007D373F" w:rsidRDefault="00975E66" w:rsidP="00975E66">
      <w:pPr>
        <w:pStyle w:val="EndNoteBibliography"/>
        <w:rPr>
          <w:rFonts w:asciiTheme="majorBidi" w:hAnsiTheme="majorBidi" w:cstheme="majorBidi"/>
        </w:rPr>
      </w:pPr>
      <w:r w:rsidRPr="007D373F">
        <w:rPr>
          <w:rFonts w:asciiTheme="majorBidi" w:hAnsiTheme="majorBidi" w:cstheme="majorBidi"/>
        </w:rPr>
        <w:t>2.</w:t>
      </w:r>
      <w:r w:rsidR="002722C8" w:rsidRPr="007D373F">
        <w:rPr>
          <w:rFonts w:asciiTheme="majorBidi" w:hAnsiTheme="majorBidi" w:cstheme="majorBidi"/>
        </w:rPr>
        <w:t>Cosentini EP, Sautner T, Gnant M, Winkelbauer F, Teleky B, Jakesz R. Outcomes of surgical, percutaneous endoscopic, and percutaneous radiologic gastrostomies. Arch Surg 1998;133:1076-83.</w:t>
      </w:r>
    </w:p>
    <w:p w:rsidR="002722C8" w:rsidRPr="007D373F" w:rsidRDefault="00975E66" w:rsidP="00975E66">
      <w:pPr>
        <w:pStyle w:val="EndNoteBibliography"/>
        <w:rPr>
          <w:rFonts w:asciiTheme="majorBidi" w:hAnsiTheme="majorBidi" w:cstheme="majorBidi"/>
        </w:rPr>
      </w:pPr>
      <w:r w:rsidRPr="007D373F">
        <w:rPr>
          <w:rFonts w:asciiTheme="majorBidi" w:hAnsiTheme="majorBidi" w:cstheme="majorBidi"/>
        </w:rPr>
        <w:t>3.</w:t>
      </w:r>
      <w:r w:rsidR="002722C8" w:rsidRPr="007D373F">
        <w:rPr>
          <w:rFonts w:asciiTheme="majorBidi" w:hAnsiTheme="majorBidi" w:cstheme="majorBidi"/>
        </w:rPr>
        <w:t xml:space="preserve">Gauderer MW, Ponsky JL, Izant RJ. Gastrostomy without laparotomy: a percutaneous endoscopic technique. J </w:t>
      </w:r>
      <w:r w:rsidRPr="007D373F">
        <w:rPr>
          <w:rFonts w:asciiTheme="majorBidi" w:hAnsiTheme="majorBidi" w:cstheme="majorBidi"/>
        </w:rPr>
        <w:t>P</w:t>
      </w:r>
      <w:r w:rsidR="002722C8" w:rsidRPr="007D373F">
        <w:rPr>
          <w:rFonts w:asciiTheme="majorBidi" w:hAnsiTheme="majorBidi" w:cstheme="majorBidi"/>
        </w:rPr>
        <w:t xml:space="preserve">ediatr </w:t>
      </w:r>
      <w:r w:rsidRPr="007D373F">
        <w:rPr>
          <w:rFonts w:asciiTheme="majorBidi" w:hAnsiTheme="majorBidi" w:cstheme="majorBidi"/>
        </w:rPr>
        <w:t>S</w:t>
      </w:r>
      <w:r w:rsidR="002722C8" w:rsidRPr="007D373F">
        <w:rPr>
          <w:rFonts w:asciiTheme="majorBidi" w:hAnsiTheme="majorBidi" w:cstheme="majorBidi"/>
        </w:rPr>
        <w:t>urg 1980;15:872-5.</w:t>
      </w:r>
    </w:p>
    <w:p w:rsidR="002722C8" w:rsidRPr="007D373F" w:rsidRDefault="00975E66" w:rsidP="00975E66">
      <w:pPr>
        <w:pStyle w:val="EndNoteBibliography"/>
        <w:rPr>
          <w:rFonts w:asciiTheme="majorBidi" w:hAnsiTheme="majorBidi" w:cstheme="majorBidi"/>
        </w:rPr>
      </w:pPr>
      <w:r w:rsidRPr="007D373F">
        <w:rPr>
          <w:rFonts w:asciiTheme="majorBidi" w:hAnsiTheme="majorBidi" w:cstheme="majorBidi"/>
        </w:rPr>
        <w:t>4.</w:t>
      </w:r>
      <w:r w:rsidR="002722C8" w:rsidRPr="007D373F">
        <w:rPr>
          <w:rFonts w:asciiTheme="majorBidi" w:hAnsiTheme="majorBidi" w:cstheme="majorBidi"/>
        </w:rPr>
        <w:t xml:space="preserve">Tabrizi R, Hosseinpour S, Taghizadeh F. Feeding in Oral Cancer Patients After Massive Ablative Surgery: Percutaneous Endoscopic Gastrostomy or Nasogastric Tube. </w:t>
      </w:r>
      <w:r w:rsidRPr="007D373F">
        <w:rPr>
          <w:rStyle w:val="jrnl"/>
          <w:rFonts w:asciiTheme="majorBidi" w:hAnsiTheme="majorBidi" w:cstheme="majorBidi"/>
          <w:sz w:val="24"/>
          <w:szCs w:val="24"/>
        </w:rPr>
        <w:t>J Craniofac Surg</w:t>
      </w:r>
      <w:r w:rsidR="002722C8" w:rsidRPr="007D373F">
        <w:rPr>
          <w:rFonts w:asciiTheme="majorBidi" w:hAnsiTheme="majorBidi" w:cstheme="majorBidi"/>
          <w:sz w:val="24"/>
          <w:szCs w:val="24"/>
        </w:rPr>
        <w:t xml:space="preserve"> </w:t>
      </w:r>
      <w:r w:rsidR="002722C8" w:rsidRPr="007D373F">
        <w:rPr>
          <w:rFonts w:asciiTheme="majorBidi" w:hAnsiTheme="majorBidi" w:cstheme="majorBidi"/>
        </w:rPr>
        <w:t>2016;27:1010-1.</w:t>
      </w:r>
    </w:p>
    <w:p w:rsidR="002722C8" w:rsidRPr="007D373F" w:rsidRDefault="00975E66" w:rsidP="00975E66">
      <w:pPr>
        <w:pStyle w:val="EndNoteBibliography"/>
        <w:rPr>
          <w:rFonts w:asciiTheme="majorBidi" w:hAnsiTheme="majorBidi" w:cstheme="majorBidi"/>
        </w:rPr>
      </w:pPr>
      <w:r w:rsidRPr="007D373F">
        <w:rPr>
          <w:rFonts w:asciiTheme="majorBidi" w:hAnsiTheme="majorBidi" w:cstheme="majorBidi"/>
        </w:rPr>
        <w:t>5.</w:t>
      </w:r>
      <w:r w:rsidR="002722C8" w:rsidRPr="007D373F">
        <w:rPr>
          <w:rFonts w:asciiTheme="majorBidi" w:hAnsiTheme="majorBidi" w:cstheme="majorBidi"/>
        </w:rPr>
        <w:t xml:space="preserve">Belsha D, Thomson M, Dass DR, Lindley R, Marven S. Assessment of the safety and efficacy of percutaneous laparoscopic endoscopic jejunostomy (PLEJ). </w:t>
      </w:r>
      <w:r w:rsidRPr="007D373F">
        <w:rPr>
          <w:rFonts w:asciiTheme="majorBidi" w:hAnsiTheme="majorBidi" w:cstheme="majorBidi"/>
        </w:rPr>
        <w:t>J Pediatr Surg</w:t>
      </w:r>
      <w:r w:rsidR="002722C8" w:rsidRPr="007D373F">
        <w:rPr>
          <w:rFonts w:asciiTheme="majorBidi" w:hAnsiTheme="majorBidi" w:cstheme="majorBidi"/>
        </w:rPr>
        <w:t xml:space="preserve"> 2016;51:513-8.</w:t>
      </w:r>
    </w:p>
    <w:p w:rsidR="002722C8" w:rsidRPr="007D373F" w:rsidRDefault="00975E66" w:rsidP="00975E66">
      <w:pPr>
        <w:pStyle w:val="EndNoteBibliography"/>
        <w:rPr>
          <w:rFonts w:asciiTheme="majorBidi" w:hAnsiTheme="majorBidi" w:cstheme="majorBidi"/>
        </w:rPr>
      </w:pPr>
      <w:r w:rsidRPr="007D373F">
        <w:rPr>
          <w:rFonts w:asciiTheme="majorBidi" w:hAnsiTheme="majorBidi" w:cstheme="majorBidi"/>
        </w:rPr>
        <w:t>6.</w:t>
      </w:r>
      <w:r w:rsidR="002722C8" w:rsidRPr="007D373F">
        <w:rPr>
          <w:rFonts w:asciiTheme="majorBidi" w:hAnsiTheme="majorBidi" w:cstheme="majorBidi"/>
        </w:rPr>
        <w:t xml:space="preserve">Abu R, Khoury T, Cohen J, Chen S, Yaari S, Daher S, et al. PEG Insertion in Patients With Dementia Does Not Improve Nutritional Status and Has Worse Outcomes as Compared With PEG Insertion for Other Indications. </w:t>
      </w:r>
      <w:r w:rsidRPr="007D373F">
        <w:rPr>
          <w:rFonts w:asciiTheme="majorBidi" w:hAnsiTheme="majorBidi" w:cstheme="majorBidi"/>
        </w:rPr>
        <w:t>J C</w:t>
      </w:r>
      <w:r w:rsidR="002722C8" w:rsidRPr="007D373F">
        <w:rPr>
          <w:rFonts w:asciiTheme="majorBidi" w:hAnsiTheme="majorBidi" w:cstheme="majorBidi"/>
        </w:rPr>
        <w:t xml:space="preserve">lin </w:t>
      </w:r>
      <w:r w:rsidRPr="007D373F">
        <w:rPr>
          <w:rFonts w:asciiTheme="majorBidi" w:hAnsiTheme="majorBidi" w:cstheme="majorBidi"/>
        </w:rPr>
        <w:t>G</w:t>
      </w:r>
      <w:r w:rsidR="002722C8" w:rsidRPr="007D373F">
        <w:rPr>
          <w:rFonts w:asciiTheme="majorBidi" w:hAnsiTheme="majorBidi" w:cstheme="majorBidi"/>
        </w:rPr>
        <w:t>astroenterol 2016.</w:t>
      </w:r>
    </w:p>
    <w:p w:rsidR="00975E66" w:rsidRPr="007D373F" w:rsidRDefault="00975E66" w:rsidP="00975E66">
      <w:pPr>
        <w:pStyle w:val="EndNoteBibliography"/>
        <w:rPr>
          <w:rFonts w:asciiTheme="majorBidi" w:eastAsiaTheme="minorHAnsi" w:hAnsiTheme="majorBidi" w:cstheme="majorBidi"/>
          <w:noProof w:val="0"/>
          <w:sz w:val="24"/>
          <w:szCs w:val="24"/>
          <w:lang w:bidi="ar-SA"/>
        </w:rPr>
      </w:pPr>
      <w:r w:rsidRPr="007D373F">
        <w:rPr>
          <w:rFonts w:asciiTheme="majorBidi" w:hAnsiTheme="majorBidi" w:cstheme="majorBidi"/>
        </w:rPr>
        <w:t>7.</w:t>
      </w:r>
      <w:r w:rsidR="002722C8" w:rsidRPr="007D373F">
        <w:rPr>
          <w:rFonts w:asciiTheme="majorBidi" w:hAnsiTheme="majorBidi" w:cstheme="majorBidi"/>
        </w:rPr>
        <w:t xml:space="preserve">Friginal-Ruiz AB, Lucendo AJ. Percutaneous endoscopic gastrostomy: a practical overview on its </w:t>
      </w:r>
      <w:r w:rsidR="002722C8" w:rsidRPr="007D373F">
        <w:rPr>
          <w:rFonts w:asciiTheme="majorBidi" w:hAnsiTheme="majorBidi" w:cstheme="majorBidi"/>
          <w:sz w:val="24"/>
          <w:szCs w:val="24"/>
        </w:rPr>
        <w:t xml:space="preserve">indications, placement conditions, management, and nursing care. </w:t>
      </w:r>
      <w:hyperlink r:id="rId7" w:tooltip="Gastroenterology nursing : the official journal of the Society of Gastroenterology Nurses and Associates." w:history="1">
        <w:r w:rsidRPr="007D373F">
          <w:rPr>
            <w:rFonts w:asciiTheme="majorBidi" w:eastAsiaTheme="minorHAnsi" w:hAnsiTheme="majorBidi" w:cstheme="majorBidi"/>
            <w:noProof w:val="0"/>
            <w:sz w:val="24"/>
            <w:szCs w:val="24"/>
            <w:lang w:bidi="ar-SA"/>
          </w:rPr>
          <w:t>Gastroenterol Nurs</w:t>
        </w:r>
      </w:hyperlink>
      <w:r w:rsidRPr="007D373F">
        <w:rPr>
          <w:rFonts w:asciiTheme="majorBidi" w:eastAsiaTheme="minorHAnsi" w:hAnsiTheme="majorBidi" w:cstheme="majorBidi"/>
          <w:noProof w:val="0"/>
          <w:sz w:val="24"/>
          <w:szCs w:val="24"/>
          <w:lang w:bidi="ar-SA"/>
        </w:rPr>
        <w:t xml:space="preserve"> 2015;38:354-66; quiz 367-8.</w:t>
      </w:r>
    </w:p>
    <w:p w:rsidR="002722C8" w:rsidRPr="007D373F" w:rsidRDefault="00975E66" w:rsidP="00975E66">
      <w:pPr>
        <w:pStyle w:val="EndNoteBibliography"/>
        <w:rPr>
          <w:rFonts w:asciiTheme="majorBidi" w:hAnsiTheme="majorBidi" w:cstheme="majorBidi"/>
        </w:rPr>
      </w:pPr>
      <w:r w:rsidRPr="007D373F">
        <w:rPr>
          <w:rFonts w:asciiTheme="majorBidi" w:hAnsiTheme="majorBidi" w:cstheme="majorBidi"/>
        </w:rPr>
        <w:lastRenderedPageBreak/>
        <w:t>8.</w:t>
      </w:r>
      <w:r w:rsidR="002722C8" w:rsidRPr="007D373F">
        <w:rPr>
          <w:rFonts w:asciiTheme="majorBidi" w:hAnsiTheme="majorBidi" w:cstheme="majorBidi"/>
        </w:rPr>
        <w:t>Moran C, O’Mahony S. When is feeding via a</w:t>
      </w:r>
      <w:r w:rsidR="002722C8" w:rsidRPr="007D373F">
        <w:rPr>
          <w:rFonts w:asciiTheme="majorBidi" w:hAnsiTheme="majorBidi" w:cstheme="majorBidi"/>
          <w:sz w:val="24"/>
          <w:szCs w:val="24"/>
        </w:rPr>
        <w:t xml:space="preserve"> percutaneous endoscopic gastrostomy indicated? </w:t>
      </w:r>
      <w:hyperlink r:id="rId8" w:tooltip="Current opinion in gastroenterology." w:history="1">
        <w:r w:rsidRPr="007D373F">
          <w:rPr>
            <w:rFonts w:asciiTheme="majorBidi" w:eastAsiaTheme="minorHAnsi" w:hAnsiTheme="majorBidi" w:cstheme="majorBidi"/>
            <w:noProof w:val="0"/>
            <w:sz w:val="24"/>
            <w:szCs w:val="24"/>
            <w:lang w:bidi="ar-SA"/>
          </w:rPr>
          <w:t>Curr Opin Gastroenterol</w:t>
        </w:r>
      </w:hyperlink>
      <w:r w:rsidRPr="007D373F">
        <w:rPr>
          <w:rFonts w:asciiTheme="majorBidi" w:eastAsiaTheme="minorHAnsi" w:hAnsiTheme="majorBidi" w:cstheme="majorBidi"/>
          <w:noProof w:val="0"/>
          <w:sz w:val="24"/>
          <w:szCs w:val="24"/>
          <w:lang w:bidi="ar-SA"/>
        </w:rPr>
        <w:t xml:space="preserve"> 2015;31:137-42.</w:t>
      </w:r>
    </w:p>
    <w:p w:rsidR="002722C8" w:rsidRPr="007D373F" w:rsidRDefault="00975E66" w:rsidP="00975E66">
      <w:pPr>
        <w:pStyle w:val="EndNoteBibliography"/>
        <w:rPr>
          <w:rFonts w:asciiTheme="majorBidi" w:hAnsiTheme="majorBidi" w:cstheme="majorBidi"/>
        </w:rPr>
      </w:pPr>
      <w:r w:rsidRPr="007D373F">
        <w:rPr>
          <w:rFonts w:asciiTheme="majorBidi" w:hAnsiTheme="majorBidi" w:cstheme="majorBidi"/>
        </w:rPr>
        <w:t>9.</w:t>
      </w:r>
      <w:r w:rsidR="002722C8" w:rsidRPr="007D373F">
        <w:rPr>
          <w:rFonts w:asciiTheme="majorBidi" w:hAnsiTheme="majorBidi" w:cstheme="majorBidi"/>
        </w:rPr>
        <w:t>Schrag SP, Sharma R, Jaik NP, Seamon MJ, Lukaszczyk JJ, Martin ND, et al. Complications related to percutaneous endoscopic gastrostomy (PEG) tubes. A comprehensive clinical review. J Gastrointest</w:t>
      </w:r>
      <w:r w:rsidRPr="007D373F">
        <w:rPr>
          <w:rFonts w:asciiTheme="majorBidi" w:hAnsiTheme="majorBidi" w:cstheme="majorBidi"/>
        </w:rPr>
        <w:t>in</w:t>
      </w:r>
      <w:r w:rsidR="002722C8" w:rsidRPr="007D373F">
        <w:rPr>
          <w:rFonts w:asciiTheme="majorBidi" w:hAnsiTheme="majorBidi" w:cstheme="majorBidi"/>
        </w:rPr>
        <w:t xml:space="preserve"> Liver Dis 2007;16:407</w:t>
      </w:r>
      <w:r w:rsidRPr="007D373F">
        <w:rPr>
          <w:rFonts w:asciiTheme="majorBidi" w:hAnsiTheme="majorBidi" w:cstheme="majorBidi"/>
        </w:rPr>
        <w:t>-18</w:t>
      </w:r>
      <w:r w:rsidR="002722C8" w:rsidRPr="007D373F">
        <w:rPr>
          <w:rFonts w:asciiTheme="majorBidi" w:hAnsiTheme="majorBidi" w:cstheme="majorBidi"/>
        </w:rPr>
        <w:t>.</w:t>
      </w:r>
    </w:p>
    <w:p w:rsidR="002722C8" w:rsidRPr="007D373F" w:rsidRDefault="004A7B83" w:rsidP="004A7B83">
      <w:pPr>
        <w:pStyle w:val="EndNoteBibliography"/>
        <w:rPr>
          <w:rFonts w:asciiTheme="majorBidi" w:hAnsiTheme="majorBidi" w:cstheme="majorBidi"/>
        </w:rPr>
      </w:pPr>
      <w:r w:rsidRPr="007D373F">
        <w:rPr>
          <w:rFonts w:asciiTheme="majorBidi" w:hAnsiTheme="majorBidi" w:cstheme="majorBidi"/>
        </w:rPr>
        <w:t>10.</w:t>
      </w:r>
      <w:r w:rsidR="002722C8" w:rsidRPr="007D373F">
        <w:rPr>
          <w:rFonts w:asciiTheme="majorBidi" w:hAnsiTheme="majorBidi" w:cstheme="majorBidi"/>
        </w:rPr>
        <w:t>Wu K, Chen Y, Yan C, Huang Z, Wang D, Gui P, et al. Effects of percutaneous endoscopic gastrostomy on survival of patients in a persistent vegetative state after stroke. J Clin Nurs 2016.</w:t>
      </w:r>
    </w:p>
    <w:p w:rsidR="004A7B83" w:rsidRPr="007D373F" w:rsidRDefault="00E53CB4" w:rsidP="004A7B83">
      <w:pPr>
        <w:pStyle w:val="EndNoteBibliography"/>
        <w:rPr>
          <w:rFonts w:asciiTheme="majorBidi" w:eastAsiaTheme="minorHAnsi" w:hAnsiTheme="majorBidi" w:cstheme="majorBidi"/>
          <w:noProof w:val="0"/>
          <w:lang w:bidi="ar-SA"/>
        </w:rPr>
      </w:pPr>
      <w:r w:rsidRPr="007D373F">
        <w:rPr>
          <w:rFonts w:asciiTheme="majorBidi" w:hAnsiTheme="majorBidi" w:cstheme="majorBidi"/>
        </w:rPr>
        <w:t>11.</w:t>
      </w:r>
      <w:r w:rsidR="002722C8" w:rsidRPr="007D373F">
        <w:rPr>
          <w:rFonts w:asciiTheme="majorBidi" w:hAnsiTheme="majorBidi" w:cstheme="majorBidi"/>
        </w:rPr>
        <w:t>Xu Y, Guo Q, Lin J, Chen B, Wen J, Lu T, et al. Benefit of percutaneous endoscopic gastrostomy in patients underg</w:t>
      </w:r>
      <w:r w:rsidR="002722C8" w:rsidRPr="007D373F">
        <w:rPr>
          <w:rFonts w:asciiTheme="majorBidi" w:hAnsiTheme="majorBidi" w:cstheme="majorBidi"/>
          <w:sz w:val="24"/>
          <w:szCs w:val="24"/>
        </w:rPr>
        <w:t xml:space="preserve">oing definitive chemoradiotherapy for locally advanced nasopharyngeal carcinoma. </w:t>
      </w:r>
      <w:hyperlink r:id="rId9" w:tooltip="OncoTargets and therapy." w:history="1">
        <w:r w:rsidR="004A7B83" w:rsidRPr="007D373F">
          <w:rPr>
            <w:rFonts w:asciiTheme="majorBidi" w:eastAsiaTheme="minorHAnsi" w:hAnsiTheme="majorBidi" w:cstheme="majorBidi"/>
            <w:noProof w:val="0"/>
            <w:sz w:val="24"/>
            <w:szCs w:val="24"/>
            <w:lang w:bidi="ar-SA"/>
          </w:rPr>
          <w:t>Onco Targets Ther</w:t>
        </w:r>
      </w:hyperlink>
      <w:r w:rsidR="004A7B83" w:rsidRPr="007D373F">
        <w:rPr>
          <w:rFonts w:asciiTheme="majorBidi" w:eastAsiaTheme="minorHAnsi" w:hAnsiTheme="majorBidi" w:cstheme="majorBidi"/>
          <w:noProof w:val="0"/>
          <w:sz w:val="24"/>
          <w:szCs w:val="24"/>
          <w:lang w:bidi="ar-SA"/>
        </w:rPr>
        <w:t xml:space="preserve"> 2016;9:6835-41.</w:t>
      </w:r>
    </w:p>
    <w:p w:rsidR="002722C8" w:rsidRPr="007D373F" w:rsidRDefault="00E53CB4" w:rsidP="00E53CB4">
      <w:pPr>
        <w:pStyle w:val="EndNoteBibliography"/>
        <w:rPr>
          <w:rFonts w:asciiTheme="majorBidi" w:hAnsiTheme="majorBidi" w:cstheme="majorBidi"/>
        </w:rPr>
      </w:pPr>
      <w:r w:rsidRPr="007D373F">
        <w:rPr>
          <w:rFonts w:asciiTheme="majorBidi" w:hAnsiTheme="majorBidi" w:cstheme="majorBidi"/>
        </w:rPr>
        <w:t>12.</w:t>
      </w:r>
      <w:r w:rsidR="002722C8" w:rsidRPr="007D373F">
        <w:rPr>
          <w:rFonts w:asciiTheme="majorBidi" w:hAnsiTheme="majorBidi" w:cstheme="majorBidi"/>
        </w:rPr>
        <w:t xml:space="preserve">Sarkar P, Cole A, Scolding N, Rice C. Percutaneous Endoscopic Gastrostomy Tube Insertion in Neurodegenerative Disease: A Retrospective Study and Literature Review. Clin </w:t>
      </w:r>
      <w:r w:rsidRPr="007D373F">
        <w:rPr>
          <w:rFonts w:asciiTheme="majorBidi" w:hAnsiTheme="majorBidi" w:cstheme="majorBidi"/>
        </w:rPr>
        <w:t>E</w:t>
      </w:r>
      <w:r w:rsidR="002722C8" w:rsidRPr="007D373F">
        <w:rPr>
          <w:rFonts w:asciiTheme="majorBidi" w:hAnsiTheme="majorBidi" w:cstheme="majorBidi"/>
        </w:rPr>
        <w:t>ndosc 2016.</w:t>
      </w:r>
    </w:p>
    <w:p w:rsidR="002722C8" w:rsidRPr="007D373F" w:rsidRDefault="00E53CB4" w:rsidP="00FD5B11">
      <w:pPr>
        <w:pStyle w:val="EndNoteBibliography"/>
        <w:rPr>
          <w:rFonts w:asciiTheme="majorBidi" w:hAnsiTheme="majorBidi" w:cstheme="majorBidi"/>
          <w:sz w:val="24"/>
          <w:szCs w:val="24"/>
        </w:rPr>
      </w:pPr>
      <w:r w:rsidRPr="007D373F">
        <w:rPr>
          <w:rFonts w:asciiTheme="majorBidi" w:hAnsiTheme="majorBidi" w:cstheme="majorBidi"/>
        </w:rPr>
        <w:t>13.</w:t>
      </w:r>
      <w:r w:rsidR="002722C8" w:rsidRPr="007D373F">
        <w:rPr>
          <w:rFonts w:asciiTheme="majorBidi" w:hAnsiTheme="majorBidi" w:cstheme="majorBidi"/>
        </w:rPr>
        <w:t xml:space="preserve">Nunes G, Santos CA, Santos C, Fonseca J. Percutaneous endoscopic gastrostomy for nutritional </w:t>
      </w:r>
      <w:r w:rsidR="002722C8" w:rsidRPr="007D373F">
        <w:rPr>
          <w:rFonts w:asciiTheme="majorBidi" w:hAnsiTheme="majorBidi" w:cstheme="majorBidi"/>
          <w:sz w:val="24"/>
          <w:szCs w:val="24"/>
        </w:rPr>
        <w:t xml:space="preserve">support in dementia patients. </w:t>
      </w:r>
      <w:hyperlink r:id="rId10" w:tooltip="Aging clinical and experimental research." w:history="1">
        <w:r w:rsidR="00FD5B11" w:rsidRPr="007D373F">
          <w:rPr>
            <w:rFonts w:asciiTheme="majorBidi" w:eastAsiaTheme="minorHAnsi" w:hAnsiTheme="majorBidi" w:cstheme="majorBidi"/>
            <w:noProof w:val="0"/>
            <w:sz w:val="24"/>
            <w:szCs w:val="24"/>
            <w:lang w:bidi="ar-SA"/>
          </w:rPr>
          <w:t>Aging Clin Exp Res</w:t>
        </w:r>
      </w:hyperlink>
      <w:r w:rsidR="00FD5B11" w:rsidRPr="007D373F">
        <w:rPr>
          <w:rFonts w:asciiTheme="majorBidi" w:eastAsiaTheme="minorHAnsi" w:hAnsiTheme="majorBidi" w:cstheme="majorBidi"/>
          <w:noProof w:val="0"/>
          <w:sz w:val="24"/>
          <w:szCs w:val="24"/>
          <w:lang w:bidi="ar-SA"/>
        </w:rPr>
        <w:t xml:space="preserve"> 2016;28:983-9.</w:t>
      </w:r>
    </w:p>
    <w:p w:rsidR="00FD5B11" w:rsidRPr="007D373F" w:rsidRDefault="00FD5B11" w:rsidP="00FD5B11">
      <w:pPr>
        <w:pStyle w:val="EndNoteBibliography"/>
        <w:rPr>
          <w:rFonts w:asciiTheme="majorBidi" w:eastAsiaTheme="minorHAnsi" w:hAnsiTheme="majorBidi" w:cstheme="majorBidi"/>
          <w:noProof w:val="0"/>
          <w:lang w:bidi="ar-SA"/>
        </w:rPr>
      </w:pPr>
      <w:r w:rsidRPr="007D373F">
        <w:rPr>
          <w:rFonts w:asciiTheme="majorBidi" w:hAnsiTheme="majorBidi" w:cstheme="majorBidi"/>
        </w:rPr>
        <w:t>14.</w:t>
      </w:r>
      <w:r w:rsidR="002722C8" w:rsidRPr="007D373F">
        <w:rPr>
          <w:rFonts w:asciiTheme="majorBidi" w:hAnsiTheme="majorBidi" w:cstheme="majorBidi"/>
        </w:rPr>
        <w:t>Sofue K, Takeuchi Y, Tsurusaki M, Shibamoto K, Sakamoto N, Kitajima K, et al. Value of Percutaneous Radiologic Ga</w:t>
      </w:r>
      <w:r w:rsidR="002722C8" w:rsidRPr="007D373F">
        <w:rPr>
          <w:rFonts w:asciiTheme="majorBidi" w:hAnsiTheme="majorBidi" w:cstheme="majorBidi"/>
          <w:sz w:val="24"/>
          <w:szCs w:val="24"/>
        </w:rPr>
        <w:t xml:space="preserve">strostomy for Patients with Advanced Esophageal Cancer. </w:t>
      </w:r>
      <w:hyperlink r:id="rId11" w:tooltip="Annals of surgical oncology." w:history="1">
        <w:r w:rsidRPr="007D373F">
          <w:rPr>
            <w:rFonts w:asciiTheme="majorBidi" w:eastAsiaTheme="minorHAnsi" w:hAnsiTheme="majorBidi" w:cstheme="majorBidi"/>
            <w:noProof w:val="0"/>
            <w:sz w:val="24"/>
            <w:szCs w:val="24"/>
            <w:lang w:bidi="ar-SA"/>
          </w:rPr>
          <w:t>Ann Surg Oncol</w:t>
        </w:r>
      </w:hyperlink>
      <w:r w:rsidRPr="007D373F">
        <w:rPr>
          <w:rFonts w:asciiTheme="majorBidi" w:eastAsiaTheme="minorHAnsi" w:hAnsiTheme="majorBidi" w:cstheme="majorBidi"/>
          <w:noProof w:val="0"/>
          <w:sz w:val="24"/>
          <w:szCs w:val="24"/>
          <w:lang w:bidi="ar-SA"/>
        </w:rPr>
        <w:t xml:space="preserve"> 2016;23):3623-31.</w:t>
      </w:r>
    </w:p>
    <w:p w:rsidR="002722C8" w:rsidRPr="007D373F" w:rsidRDefault="00FD5B11" w:rsidP="00FD5B11">
      <w:pPr>
        <w:pStyle w:val="EndNoteBibliography"/>
        <w:rPr>
          <w:rFonts w:asciiTheme="majorBidi" w:hAnsiTheme="majorBidi" w:cstheme="majorBidi"/>
        </w:rPr>
      </w:pPr>
      <w:r w:rsidRPr="007D373F">
        <w:rPr>
          <w:rFonts w:asciiTheme="majorBidi" w:hAnsiTheme="majorBidi" w:cstheme="majorBidi"/>
        </w:rPr>
        <w:t>15.</w:t>
      </w:r>
      <w:r w:rsidR="002722C8" w:rsidRPr="007D373F">
        <w:rPr>
          <w:rFonts w:asciiTheme="majorBidi" w:hAnsiTheme="majorBidi" w:cstheme="majorBidi"/>
        </w:rPr>
        <w:t xml:space="preserve">Benstead T, Jackson-Tarlton C, Leddin D. Nutrition with Gastrostomy Feeding Tubes for Amyotrophic Lateral Sclerosis in Canada. </w:t>
      </w:r>
      <w:hyperlink r:id="rId12" w:tooltip="The Canadian journal of neurological sciences. Le journal canadien des sciences neurologiques." w:history="1">
        <w:r w:rsidRPr="007D373F">
          <w:rPr>
            <w:rFonts w:asciiTheme="majorBidi" w:eastAsiaTheme="minorHAnsi" w:hAnsiTheme="majorBidi" w:cstheme="majorBidi"/>
            <w:noProof w:val="0"/>
            <w:lang w:bidi="ar-SA"/>
          </w:rPr>
          <w:t>Can J Neurol Sci</w:t>
        </w:r>
      </w:hyperlink>
      <w:r w:rsidRPr="007D373F">
        <w:rPr>
          <w:rFonts w:asciiTheme="majorBidi" w:eastAsiaTheme="minorHAnsi" w:hAnsiTheme="majorBidi" w:cstheme="majorBidi"/>
          <w:noProof w:val="0"/>
          <w:lang w:bidi="ar-SA"/>
        </w:rPr>
        <w:t xml:space="preserve"> 2016;43:796-800.</w:t>
      </w:r>
    </w:p>
    <w:p w:rsidR="00A0747E" w:rsidRPr="007D373F" w:rsidRDefault="00A0747E" w:rsidP="00B40A2A">
      <w:pPr>
        <w:pStyle w:val="EndNoteBibliography"/>
        <w:rPr>
          <w:rFonts w:asciiTheme="majorBidi" w:eastAsiaTheme="minorHAnsi" w:hAnsiTheme="majorBidi" w:cstheme="majorBidi"/>
          <w:noProof w:val="0"/>
          <w:lang w:bidi="ar-SA"/>
        </w:rPr>
      </w:pPr>
      <w:r w:rsidRPr="007D373F">
        <w:rPr>
          <w:rFonts w:asciiTheme="majorBidi" w:hAnsiTheme="majorBidi" w:cstheme="majorBidi"/>
        </w:rPr>
        <w:t>16.</w:t>
      </w:r>
      <w:r w:rsidR="002722C8" w:rsidRPr="007D373F">
        <w:rPr>
          <w:rFonts w:asciiTheme="majorBidi" w:hAnsiTheme="majorBidi" w:cstheme="majorBidi"/>
        </w:rPr>
        <w:t xml:space="preserve">Nozu T, Okumura T. Bullous pemphigoid and percutaneous endoscopic gastrostomy. </w:t>
      </w:r>
      <w:hyperlink r:id="rId13" w:tooltip="Geriatrics &amp; gerontology international." w:history="1">
        <w:r w:rsidRPr="007D373F">
          <w:rPr>
            <w:rFonts w:asciiTheme="majorBidi" w:eastAsiaTheme="minorHAnsi" w:hAnsiTheme="majorBidi" w:cstheme="majorBidi"/>
            <w:noProof w:val="0"/>
            <w:lang w:bidi="ar-SA"/>
          </w:rPr>
          <w:t>Geriatr Gerontol Int</w:t>
        </w:r>
      </w:hyperlink>
      <w:r w:rsidRPr="007D373F">
        <w:rPr>
          <w:rFonts w:asciiTheme="majorBidi" w:eastAsiaTheme="minorHAnsi" w:hAnsiTheme="majorBidi" w:cstheme="majorBidi"/>
          <w:noProof w:val="0"/>
          <w:lang w:bidi="ar-SA"/>
        </w:rPr>
        <w:t xml:space="preserve"> 2016;16:1173-4</w:t>
      </w:r>
      <w:r w:rsidR="00B40A2A" w:rsidRPr="007D373F">
        <w:rPr>
          <w:rFonts w:asciiTheme="majorBidi" w:eastAsiaTheme="minorHAnsi" w:hAnsiTheme="majorBidi" w:cstheme="majorBidi"/>
          <w:noProof w:val="0"/>
          <w:lang w:bidi="ar-SA"/>
        </w:rPr>
        <w:t>.</w:t>
      </w:r>
    </w:p>
    <w:p w:rsidR="002722C8" w:rsidRPr="007D373F" w:rsidRDefault="00B40A2A" w:rsidP="00B40A2A">
      <w:pPr>
        <w:pStyle w:val="EndNoteBibliography"/>
        <w:rPr>
          <w:rFonts w:asciiTheme="majorBidi" w:hAnsiTheme="majorBidi" w:cstheme="majorBidi"/>
        </w:rPr>
      </w:pPr>
      <w:r w:rsidRPr="007D373F">
        <w:rPr>
          <w:rFonts w:asciiTheme="majorBidi" w:hAnsiTheme="majorBidi" w:cstheme="majorBidi"/>
        </w:rPr>
        <w:t>17.</w:t>
      </w:r>
      <w:r w:rsidR="002722C8" w:rsidRPr="007D373F">
        <w:rPr>
          <w:rFonts w:asciiTheme="majorBidi" w:hAnsiTheme="majorBidi" w:cstheme="majorBidi"/>
        </w:rPr>
        <w:t xml:space="preserve">Hucl T, Spicak J. Complications of percutaneous endoscopic gastrostomy. </w:t>
      </w:r>
      <w:hyperlink r:id="rId14" w:tooltip="Best practice &amp; research. Clinical gastroenterology." w:history="1">
        <w:r w:rsidRPr="007D373F">
          <w:rPr>
            <w:rFonts w:asciiTheme="majorBidi" w:eastAsiaTheme="minorHAnsi" w:hAnsiTheme="majorBidi" w:cstheme="majorBidi"/>
            <w:noProof w:val="0"/>
            <w:lang w:bidi="ar-SA"/>
          </w:rPr>
          <w:t>Best Pract Res Clin Gastroenterol</w:t>
        </w:r>
      </w:hyperlink>
      <w:r w:rsidRPr="007D373F">
        <w:rPr>
          <w:rFonts w:asciiTheme="majorBidi" w:eastAsiaTheme="minorHAnsi" w:hAnsiTheme="majorBidi" w:cstheme="majorBidi"/>
          <w:noProof w:val="0"/>
          <w:lang w:bidi="ar-SA"/>
        </w:rPr>
        <w:t xml:space="preserve"> 2016;30:769-81.</w:t>
      </w:r>
    </w:p>
    <w:p w:rsidR="002722C8" w:rsidRPr="007D373F" w:rsidRDefault="00B40A2A" w:rsidP="00B40A2A">
      <w:pPr>
        <w:pStyle w:val="EndNoteBibliography"/>
        <w:rPr>
          <w:rFonts w:asciiTheme="majorBidi" w:hAnsiTheme="majorBidi" w:cstheme="majorBidi"/>
        </w:rPr>
      </w:pPr>
      <w:r w:rsidRPr="007D373F">
        <w:rPr>
          <w:rFonts w:asciiTheme="majorBidi" w:hAnsiTheme="majorBidi" w:cstheme="majorBidi"/>
        </w:rPr>
        <w:t>18.</w:t>
      </w:r>
      <w:r w:rsidR="002722C8" w:rsidRPr="007D373F">
        <w:rPr>
          <w:rFonts w:asciiTheme="majorBidi" w:hAnsiTheme="majorBidi" w:cstheme="majorBidi"/>
        </w:rPr>
        <w:t>Jafari A, Weismüller T, Tonguc T, Kalff J, Manekeller S. Complications after Percutaneous Endoscopic Gastrostomy Tube Placement-A Retrospective Analysis. Zentralblatt fur Chirurgie 2016;141:442-5.</w:t>
      </w:r>
    </w:p>
    <w:p w:rsidR="00B40A2A" w:rsidRPr="007D373F" w:rsidRDefault="00B40A2A" w:rsidP="00B40A2A">
      <w:pPr>
        <w:pStyle w:val="EndNoteBibliography"/>
        <w:rPr>
          <w:rFonts w:asciiTheme="majorBidi" w:eastAsiaTheme="minorHAnsi" w:hAnsiTheme="majorBidi" w:cstheme="majorBidi"/>
          <w:noProof w:val="0"/>
          <w:lang w:bidi="ar-SA"/>
        </w:rPr>
      </w:pPr>
      <w:r w:rsidRPr="007D373F">
        <w:rPr>
          <w:rFonts w:asciiTheme="majorBidi" w:hAnsiTheme="majorBidi" w:cstheme="majorBidi"/>
        </w:rPr>
        <w:t>19.</w:t>
      </w:r>
      <w:r w:rsidR="002722C8" w:rsidRPr="007D373F">
        <w:rPr>
          <w:rFonts w:asciiTheme="majorBidi" w:hAnsiTheme="majorBidi" w:cstheme="majorBidi"/>
        </w:rPr>
        <w:t xml:space="preserve">Li J, Zhang J, Li S, Guo H, Qin W, li Hu W. Predictors of percutaneous endoscopic gastrostomy tube placement after stroke. </w:t>
      </w:r>
      <w:hyperlink r:id="rId15" w:tooltip="The Canadian journal of neurological sciences. Le journal canadien des sciences neurologiques." w:history="1">
        <w:r w:rsidRPr="007D373F">
          <w:rPr>
            <w:rFonts w:asciiTheme="majorBidi" w:eastAsiaTheme="minorHAnsi" w:hAnsiTheme="majorBidi" w:cstheme="majorBidi"/>
            <w:noProof w:val="0"/>
            <w:lang w:bidi="ar-SA"/>
          </w:rPr>
          <w:t>Can J Neurol Sci</w:t>
        </w:r>
      </w:hyperlink>
      <w:r w:rsidRPr="007D373F">
        <w:rPr>
          <w:rFonts w:asciiTheme="majorBidi" w:eastAsiaTheme="minorHAnsi" w:hAnsiTheme="majorBidi" w:cstheme="majorBidi"/>
          <w:noProof w:val="0"/>
          <w:lang w:bidi="ar-SA"/>
        </w:rPr>
        <w:t xml:space="preserve"> 2014;41:24-8.</w:t>
      </w:r>
    </w:p>
    <w:p w:rsidR="002722C8" w:rsidRPr="007D373F" w:rsidRDefault="003E5A4D" w:rsidP="003E5A4D">
      <w:pPr>
        <w:pStyle w:val="EndNoteBibliography"/>
        <w:rPr>
          <w:rFonts w:asciiTheme="majorBidi" w:hAnsiTheme="majorBidi" w:cstheme="majorBidi"/>
        </w:rPr>
      </w:pPr>
      <w:r w:rsidRPr="007D373F">
        <w:rPr>
          <w:rFonts w:asciiTheme="majorBidi" w:hAnsiTheme="majorBidi" w:cstheme="majorBidi"/>
        </w:rPr>
        <w:t>20.</w:t>
      </w:r>
      <w:r w:rsidR="002722C8" w:rsidRPr="007D373F">
        <w:rPr>
          <w:rFonts w:asciiTheme="majorBidi" w:hAnsiTheme="majorBidi" w:cstheme="majorBidi"/>
        </w:rPr>
        <w:t>Kara O, Kizilarslanoglu MC, Canbaz B, Arik G, Varan HD, Kuyumcu ME, et al. Survival After Percutaneous Endoscopic Gastrostomy in Older Adults With Neurologic Disorders.</w:t>
      </w:r>
      <w:r w:rsidRPr="007D373F">
        <w:rPr>
          <w:rFonts w:asciiTheme="majorBidi" w:eastAsiaTheme="minorHAnsi" w:hAnsiTheme="majorBidi" w:cstheme="majorBidi"/>
          <w:noProof w:val="0"/>
          <w:lang w:bidi="ar-SA"/>
        </w:rPr>
        <w:t xml:space="preserve"> </w:t>
      </w:r>
      <w:hyperlink r:id="rId16" w:tooltip="Nutrition in clinical practice : official publication of the American Society for Parenteral and Enteral Nutrition." w:history="1">
        <w:r w:rsidRPr="007D373F">
          <w:rPr>
            <w:rFonts w:asciiTheme="majorBidi" w:eastAsiaTheme="minorHAnsi" w:hAnsiTheme="majorBidi" w:cstheme="majorBidi"/>
            <w:noProof w:val="0"/>
            <w:lang w:bidi="ar-SA"/>
          </w:rPr>
          <w:t>Nutr Clin Pract</w:t>
        </w:r>
      </w:hyperlink>
      <w:r w:rsidRPr="007D373F">
        <w:rPr>
          <w:rFonts w:asciiTheme="majorBidi" w:eastAsiaTheme="minorHAnsi" w:hAnsiTheme="majorBidi" w:cstheme="majorBidi"/>
          <w:noProof w:val="0"/>
          <w:lang w:bidi="ar-SA"/>
        </w:rPr>
        <w:t xml:space="preserve"> 2016. pii: 0884533616648132.</w:t>
      </w:r>
    </w:p>
    <w:p w:rsidR="002722C8" w:rsidRPr="007D373F" w:rsidRDefault="009B778A" w:rsidP="009B778A">
      <w:pPr>
        <w:pStyle w:val="EndNoteBibliography"/>
        <w:rPr>
          <w:rFonts w:asciiTheme="majorBidi" w:hAnsiTheme="majorBidi" w:cstheme="majorBidi"/>
        </w:rPr>
      </w:pPr>
      <w:r w:rsidRPr="007D373F">
        <w:rPr>
          <w:rFonts w:asciiTheme="majorBidi" w:hAnsiTheme="majorBidi" w:cstheme="majorBidi"/>
        </w:rPr>
        <w:t>21.</w:t>
      </w:r>
      <w:r w:rsidR="002722C8" w:rsidRPr="007D373F">
        <w:rPr>
          <w:rFonts w:asciiTheme="majorBidi" w:hAnsiTheme="majorBidi" w:cstheme="majorBidi"/>
        </w:rPr>
        <w:t>Villela EL, Sakai P, Almeida MR, Moura EG, Faintuch J. Endoscopic gastrostomy replacement tubes: Long-term randomized trial with five silicone commercial models. Clin Nutr 2014;33:221-5.</w:t>
      </w:r>
    </w:p>
    <w:p w:rsidR="002722C8" w:rsidRPr="007D373F" w:rsidRDefault="009B778A" w:rsidP="009B778A">
      <w:pPr>
        <w:pStyle w:val="EndNoteBibliography"/>
        <w:rPr>
          <w:rFonts w:asciiTheme="majorBidi" w:hAnsiTheme="majorBidi" w:cstheme="majorBidi"/>
        </w:rPr>
      </w:pPr>
      <w:r w:rsidRPr="007D373F">
        <w:rPr>
          <w:rFonts w:asciiTheme="majorBidi" w:hAnsiTheme="majorBidi" w:cstheme="majorBidi"/>
        </w:rPr>
        <w:t>22.</w:t>
      </w:r>
      <w:r w:rsidR="002722C8" w:rsidRPr="007D373F">
        <w:rPr>
          <w:rFonts w:asciiTheme="majorBidi" w:hAnsiTheme="majorBidi" w:cstheme="majorBidi"/>
        </w:rPr>
        <w:t>Mori H, Kobara H, Rafiq K, Nishiyama N, Fujihara S, Oryu M, et al. Effects of gastric irrigation on bacterial counts before endoscopic submucosal dissection: a randomized case control prospective study.</w:t>
      </w:r>
      <w:r w:rsidRPr="007D373F">
        <w:rPr>
          <w:rFonts w:asciiTheme="majorBidi" w:eastAsiaTheme="minorHAnsi" w:hAnsiTheme="majorBidi" w:cstheme="majorBidi"/>
          <w:noProof w:val="0"/>
          <w:lang w:bidi="ar-SA"/>
        </w:rPr>
        <w:t xml:space="preserve"> </w:t>
      </w:r>
      <w:hyperlink r:id="rId17" w:tooltip="PloS one." w:history="1">
        <w:r w:rsidRPr="007D373F">
          <w:rPr>
            <w:rFonts w:asciiTheme="majorBidi" w:eastAsiaTheme="minorHAnsi" w:hAnsiTheme="majorBidi" w:cstheme="majorBidi"/>
            <w:noProof w:val="0"/>
            <w:lang w:bidi="ar-SA"/>
          </w:rPr>
          <w:t>PLoS One</w:t>
        </w:r>
      </w:hyperlink>
      <w:r w:rsidRPr="007D373F">
        <w:rPr>
          <w:rFonts w:asciiTheme="majorBidi" w:eastAsiaTheme="minorHAnsi" w:hAnsiTheme="majorBidi" w:cstheme="majorBidi"/>
          <w:noProof w:val="0"/>
          <w:lang w:bidi="ar-SA"/>
        </w:rPr>
        <w:t xml:space="preserve"> 2013;8:e65377.</w:t>
      </w:r>
    </w:p>
    <w:p w:rsidR="002722C8" w:rsidRPr="007D373F" w:rsidRDefault="009B778A" w:rsidP="009B778A">
      <w:pPr>
        <w:pStyle w:val="EndNoteBibliography"/>
        <w:rPr>
          <w:rFonts w:asciiTheme="majorBidi" w:hAnsiTheme="majorBidi" w:cstheme="majorBidi"/>
        </w:rPr>
      </w:pPr>
      <w:r w:rsidRPr="007D373F">
        <w:rPr>
          <w:rFonts w:asciiTheme="majorBidi" w:hAnsiTheme="majorBidi" w:cstheme="majorBidi"/>
        </w:rPr>
        <w:t>23.</w:t>
      </w:r>
      <w:r w:rsidR="002722C8" w:rsidRPr="007D373F">
        <w:rPr>
          <w:rFonts w:asciiTheme="majorBidi" w:hAnsiTheme="majorBidi" w:cstheme="majorBidi"/>
        </w:rPr>
        <w:t xml:space="preserve">Lim JH, Choi SH, Lee C, Seo JY, Kang HY, Yang JI, et al. Thirty-day mortality after percutaneous gastrostomy by endoscopic versus radiologic placement: a systematic review and meta-analysis. </w:t>
      </w:r>
      <w:hyperlink r:id="rId18" w:tooltip="Intestinal research." w:history="1">
        <w:r w:rsidRPr="007D373F">
          <w:rPr>
            <w:rFonts w:asciiTheme="majorBidi" w:eastAsiaTheme="minorHAnsi" w:hAnsiTheme="majorBidi" w:cstheme="majorBidi"/>
            <w:noProof w:val="0"/>
            <w:lang w:bidi="ar-SA"/>
          </w:rPr>
          <w:t>Intest Res</w:t>
        </w:r>
      </w:hyperlink>
      <w:r w:rsidRPr="007D373F">
        <w:rPr>
          <w:rFonts w:asciiTheme="majorBidi" w:eastAsiaTheme="minorHAnsi" w:hAnsiTheme="majorBidi" w:cstheme="majorBidi"/>
          <w:noProof w:val="0"/>
          <w:lang w:bidi="ar-SA"/>
        </w:rPr>
        <w:t xml:space="preserve"> 2016;14:333-342.</w:t>
      </w:r>
    </w:p>
    <w:p w:rsidR="00DD15B3" w:rsidRPr="007D373F" w:rsidRDefault="00DD15B3" w:rsidP="00DD15B3">
      <w:pPr>
        <w:pStyle w:val="EndNoteBibliography"/>
        <w:rPr>
          <w:rFonts w:asciiTheme="majorBidi" w:eastAsiaTheme="minorHAnsi" w:hAnsiTheme="majorBidi" w:cstheme="majorBidi"/>
          <w:noProof w:val="0"/>
          <w:lang w:bidi="ar-SA"/>
        </w:rPr>
      </w:pPr>
      <w:r w:rsidRPr="007D373F">
        <w:rPr>
          <w:rFonts w:asciiTheme="majorBidi" w:hAnsiTheme="majorBidi" w:cstheme="majorBidi"/>
        </w:rPr>
        <w:t>24.</w:t>
      </w:r>
      <w:r w:rsidR="002722C8" w:rsidRPr="007D373F">
        <w:rPr>
          <w:rFonts w:asciiTheme="majorBidi" w:hAnsiTheme="majorBidi" w:cstheme="majorBidi"/>
        </w:rPr>
        <w:t xml:space="preserve">Suksamanapun N, Mauritz FA, Franken J, van der Zee DC, van Herwaarden-Lindeboom M. Laparoscopic versus percutaneous endoscopic gastrostomy placement in children: Results of a systematic review and meta-analysis. </w:t>
      </w:r>
      <w:hyperlink r:id="rId19" w:tooltip="Journal of minimal access surgery." w:history="1">
        <w:r w:rsidRPr="007D373F">
          <w:rPr>
            <w:rFonts w:asciiTheme="majorBidi" w:eastAsiaTheme="minorHAnsi" w:hAnsiTheme="majorBidi" w:cstheme="majorBidi"/>
            <w:noProof w:val="0"/>
            <w:lang w:bidi="ar-SA"/>
          </w:rPr>
          <w:t>J Minim Access Surg</w:t>
        </w:r>
      </w:hyperlink>
      <w:r w:rsidRPr="007D373F">
        <w:rPr>
          <w:rFonts w:asciiTheme="majorBidi" w:eastAsiaTheme="minorHAnsi" w:hAnsiTheme="majorBidi" w:cstheme="majorBidi"/>
          <w:noProof w:val="0"/>
          <w:lang w:bidi="ar-SA"/>
        </w:rPr>
        <w:t xml:space="preserve"> 2017;13:81-88.</w:t>
      </w:r>
    </w:p>
    <w:p w:rsidR="00DD15B3" w:rsidRPr="007D373F" w:rsidRDefault="00DD15B3" w:rsidP="00DD15B3">
      <w:pPr>
        <w:pStyle w:val="EndNoteBibliography"/>
        <w:rPr>
          <w:rFonts w:asciiTheme="majorBidi" w:eastAsiaTheme="minorHAnsi" w:hAnsiTheme="majorBidi" w:cstheme="majorBidi"/>
          <w:noProof w:val="0"/>
          <w:lang w:bidi="ar-SA"/>
        </w:rPr>
      </w:pPr>
      <w:r w:rsidRPr="007D373F">
        <w:rPr>
          <w:rFonts w:asciiTheme="majorBidi" w:hAnsiTheme="majorBidi" w:cstheme="majorBidi"/>
        </w:rPr>
        <w:lastRenderedPageBreak/>
        <w:t>25.</w:t>
      </w:r>
      <w:r w:rsidR="002722C8" w:rsidRPr="007D373F">
        <w:rPr>
          <w:rFonts w:asciiTheme="majorBidi" w:hAnsiTheme="majorBidi" w:cstheme="majorBidi"/>
        </w:rPr>
        <w:t xml:space="preserve">Duarte H, Santos C, Capelas ML, Fonseca J. Peristomal infection after percutaneous endoscopic gastrostomy: a 7-year surveillance of 297 patients. </w:t>
      </w:r>
      <w:hyperlink r:id="rId20" w:tooltip="Arquivos de gastroenterologia." w:history="1">
        <w:r w:rsidRPr="007D373F">
          <w:rPr>
            <w:rFonts w:asciiTheme="majorBidi" w:eastAsiaTheme="minorHAnsi" w:hAnsiTheme="majorBidi" w:cstheme="majorBidi"/>
            <w:noProof w:val="0"/>
            <w:lang w:bidi="ar-SA"/>
          </w:rPr>
          <w:t>Arq Gastroenterol</w:t>
        </w:r>
      </w:hyperlink>
      <w:r w:rsidRPr="007D373F">
        <w:rPr>
          <w:rFonts w:asciiTheme="majorBidi" w:eastAsiaTheme="minorHAnsi" w:hAnsiTheme="majorBidi" w:cstheme="majorBidi"/>
          <w:noProof w:val="0"/>
          <w:lang w:bidi="ar-SA"/>
        </w:rPr>
        <w:t xml:space="preserve"> 2012;49:255-8.</w:t>
      </w:r>
    </w:p>
    <w:p w:rsidR="00DD504B" w:rsidRPr="007D373F" w:rsidRDefault="00DD504B" w:rsidP="00DD504B">
      <w:pPr>
        <w:pStyle w:val="EndNoteBibliography"/>
        <w:rPr>
          <w:rFonts w:asciiTheme="majorBidi" w:eastAsiaTheme="minorHAnsi" w:hAnsiTheme="majorBidi" w:cstheme="majorBidi"/>
          <w:noProof w:val="0"/>
          <w:lang w:bidi="ar-SA"/>
        </w:rPr>
      </w:pPr>
      <w:r w:rsidRPr="007D373F">
        <w:rPr>
          <w:rFonts w:asciiTheme="majorBidi" w:hAnsiTheme="majorBidi" w:cstheme="majorBidi"/>
        </w:rPr>
        <w:t>26.</w:t>
      </w:r>
      <w:r w:rsidR="002722C8" w:rsidRPr="007D373F">
        <w:rPr>
          <w:rFonts w:asciiTheme="majorBidi" w:hAnsiTheme="majorBidi" w:cstheme="majorBidi"/>
        </w:rPr>
        <w:t xml:space="preserve">Blomberg J, Lagergren J, Martin L, Mattsson F, Lagergren P. Complications after percutaneous endoscopic gastrostomy in a prospective study. </w:t>
      </w:r>
      <w:hyperlink r:id="rId21" w:tooltip="Scandinavian journal of gastroenterology." w:history="1">
        <w:r w:rsidRPr="007D373F">
          <w:rPr>
            <w:rFonts w:asciiTheme="majorBidi" w:eastAsiaTheme="minorHAnsi" w:hAnsiTheme="majorBidi" w:cstheme="majorBidi"/>
            <w:noProof w:val="0"/>
            <w:lang w:bidi="ar-SA"/>
          </w:rPr>
          <w:t>Scand J Gastroenterol</w:t>
        </w:r>
      </w:hyperlink>
      <w:r w:rsidRPr="007D373F">
        <w:rPr>
          <w:rFonts w:asciiTheme="majorBidi" w:eastAsiaTheme="minorHAnsi" w:hAnsiTheme="majorBidi" w:cstheme="majorBidi"/>
          <w:noProof w:val="0"/>
          <w:lang w:bidi="ar-SA"/>
        </w:rPr>
        <w:t xml:space="preserve"> 2012;47:737-42.</w:t>
      </w:r>
    </w:p>
    <w:p w:rsidR="002722C8" w:rsidRPr="007D373F" w:rsidRDefault="00EA5724" w:rsidP="00FB6FC2">
      <w:pPr>
        <w:pStyle w:val="EndNoteBibliography"/>
        <w:rPr>
          <w:rFonts w:asciiTheme="majorBidi" w:hAnsiTheme="majorBidi" w:cstheme="majorBidi"/>
        </w:rPr>
      </w:pPr>
      <w:r w:rsidRPr="007D373F">
        <w:rPr>
          <w:rFonts w:asciiTheme="majorBidi" w:hAnsiTheme="majorBidi" w:cstheme="majorBidi"/>
        </w:rPr>
        <w:t>27.</w:t>
      </w:r>
      <w:r w:rsidR="002722C8" w:rsidRPr="007D373F">
        <w:rPr>
          <w:rFonts w:asciiTheme="majorBidi" w:hAnsiTheme="majorBidi" w:cstheme="majorBidi"/>
        </w:rPr>
        <w:t xml:space="preserve">Lee SP, Lee KN, Lee OY, Lee HL, Jun DW, Yoon BC, et al. Risk factors for complications of percutaneous endoscopic gastrostomy. Dig </w:t>
      </w:r>
      <w:r w:rsidR="00FB6FC2" w:rsidRPr="007D373F">
        <w:rPr>
          <w:rFonts w:asciiTheme="majorBidi" w:hAnsiTheme="majorBidi" w:cstheme="majorBidi"/>
        </w:rPr>
        <w:t>D</w:t>
      </w:r>
      <w:r w:rsidR="002722C8" w:rsidRPr="007D373F">
        <w:rPr>
          <w:rFonts w:asciiTheme="majorBidi" w:hAnsiTheme="majorBidi" w:cstheme="majorBidi"/>
        </w:rPr>
        <w:t xml:space="preserve">is </w:t>
      </w:r>
      <w:r w:rsidR="00FB6FC2" w:rsidRPr="007D373F">
        <w:rPr>
          <w:rFonts w:asciiTheme="majorBidi" w:hAnsiTheme="majorBidi" w:cstheme="majorBidi"/>
        </w:rPr>
        <w:t>S</w:t>
      </w:r>
      <w:r w:rsidR="002722C8" w:rsidRPr="007D373F">
        <w:rPr>
          <w:rFonts w:asciiTheme="majorBidi" w:hAnsiTheme="majorBidi" w:cstheme="majorBidi"/>
        </w:rPr>
        <w:t>ci 2014;59:117-25.</w:t>
      </w:r>
    </w:p>
    <w:p w:rsidR="002722C8" w:rsidRPr="007D373F" w:rsidRDefault="00A53E7B" w:rsidP="00A53E7B">
      <w:pPr>
        <w:pStyle w:val="EndNoteBibliography"/>
        <w:rPr>
          <w:rFonts w:asciiTheme="majorBidi" w:hAnsiTheme="majorBidi" w:cstheme="majorBidi"/>
        </w:rPr>
      </w:pPr>
      <w:r w:rsidRPr="007D373F">
        <w:rPr>
          <w:rFonts w:asciiTheme="majorBidi" w:hAnsiTheme="majorBidi" w:cstheme="majorBidi"/>
        </w:rPr>
        <w:t>28.</w:t>
      </w:r>
      <w:r w:rsidR="002722C8" w:rsidRPr="007D373F">
        <w:rPr>
          <w:rFonts w:asciiTheme="majorBidi" w:hAnsiTheme="majorBidi" w:cstheme="majorBidi"/>
        </w:rPr>
        <w:t>Gumaste VV, Bhamidimarri KR, Bansal R, Sidhu L, Baum J, Walfish A. Factors predicting early discharge and mortality in post-percutaneous endoscopic gastrostomy patients. Ann Gastroenterol 2014;27:42</w:t>
      </w:r>
      <w:r w:rsidRPr="007D373F">
        <w:rPr>
          <w:rFonts w:asciiTheme="majorBidi" w:hAnsiTheme="majorBidi" w:cstheme="majorBidi"/>
        </w:rPr>
        <w:t>-7</w:t>
      </w:r>
      <w:r w:rsidR="002722C8" w:rsidRPr="007D373F">
        <w:rPr>
          <w:rFonts w:asciiTheme="majorBidi" w:hAnsiTheme="majorBidi" w:cstheme="majorBidi"/>
        </w:rPr>
        <w:t>.</w:t>
      </w:r>
    </w:p>
    <w:p w:rsidR="002722C8" w:rsidRPr="007D373F" w:rsidRDefault="00513168" w:rsidP="00513168">
      <w:pPr>
        <w:pStyle w:val="EndNoteBibliography"/>
        <w:rPr>
          <w:rFonts w:asciiTheme="majorBidi" w:hAnsiTheme="majorBidi" w:cstheme="majorBidi"/>
        </w:rPr>
      </w:pPr>
      <w:r w:rsidRPr="007D373F">
        <w:rPr>
          <w:rFonts w:asciiTheme="majorBidi" w:hAnsiTheme="majorBidi" w:cstheme="majorBidi"/>
        </w:rPr>
        <w:t>29.</w:t>
      </w:r>
      <w:r w:rsidR="002722C8" w:rsidRPr="007D373F">
        <w:rPr>
          <w:rFonts w:asciiTheme="majorBidi" w:hAnsiTheme="majorBidi" w:cstheme="majorBidi"/>
        </w:rPr>
        <w:t>Strijbos D, Schoon EJ, Curvers W, Friederich P, Flink HJ, Stronkhorst A, et al. Antibacterial gauzes are effective in preventing infections after percutaneous endoscopic gastrostomy placement: a retrospective analysis. Eur</w:t>
      </w:r>
      <w:r w:rsidRPr="007D373F">
        <w:rPr>
          <w:rFonts w:asciiTheme="majorBidi" w:hAnsiTheme="majorBidi" w:cstheme="majorBidi"/>
        </w:rPr>
        <w:t xml:space="preserve"> J</w:t>
      </w:r>
      <w:r w:rsidR="002722C8" w:rsidRPr="007D373F">
        <w:rPr>
          <w:rFonts w:asciiTheme="majorBidi" w:hAnsiTheme="majorBidi" w:cstheme="majorBidi"/>
        </w:rPr>
        <w:t xml:space="preserve"> </w:t>
      </w:r>
      <w:r w:rsidRPr="007D373F">
        <w:rPr>
          <w:rFonts w:asciiTheme="majorBidi" w:hAnsiTheme="majorBidi" w:cstheme="majorBidi"/>
        </w:rPr>
        <w:t>G</w:t>
      </w:r>
      <w:r w:rsidR="002722C8" w:rsidRPr="007D373F">
        <w:rPr>
          <w:rFonts w:asciiTheme="majorBidi" w:hAnsiTheme="majorBidi" w:cstheme="majorBidi"/>
        </w:rPr>
        <w:t xml:space="preserve">astroenterol </w:t>
      </w:r>
      <w:r w:rsidRPr="007D373F">
        <w:rPr>
          <w:rFonts w:asciiTheme="majorBidi" w:hAnsiTheme="majorBidi" w:cstheme="majorBidi"/>
        </w:rPr>
        <w:t>H</w:t>
      </w:r>
      <w:r w:rsidR="002722C8" w:rsidRPr="007D373F">
        <w:rPr>
          <w:rFonts w:asciiTheme="majorBidi" w:hAnsiTheme="majorBidi" w:cstheme="majorBidi"/>
        </w:rPr>
        <w:t>epatol 2016;28:297-304.</w:t>
      </w:r>
    </w:p>
    <w:p w:rsidR="002722C8" w:rsidRPr="007D373F" w:rsidRDefault="00471727" w:rsidP="00471727">
      <w:pPr>
        <w:pStyle w:val="EndNoteBibliography"/>
        <w:rPr>
          <w:rFonts w:asciiTheme="majorBidi" w:hAnsiTheme="majorBidi" w:cstheme="majorBidi"/>
        </w:rPr>
      </w:pPr>
      <w:r w:rsidRPr="007D373F">
        <w:rPr>
          <w:rFonts w:asciiTheme="majorBidi" w:hAnsiTheme="majorBidi" w:cstheme="majorBidi"/>
        </w:rPr>
        <w:t>30.</w:t>
      </w:r>
      <w:r w:rsidR="002722C8" w:rsidRPr="007D373F">
        <w:rPr>
          <w:rFonts w:asciiTheme="majorBidi" w:hAnsiTheme="majorBidi" w:cstheme="majorBidi"/>
        </w:rPr>
        <w:t xml:space="preserve">Lipp A, Lusardi G. Systemic antimicrobial prophylaxis for percutaneous endoscopic gastrostomy. </w:t>
      </w:r>
      <w:hyperlink r:id="rId22" w:tooltip="The Cochrane database of systematic reviews." w:history="1">
        <w:r w:rsidRPr="007D373F">
          <w:rPr>
            <w:rFonts w:asciiTheme="majorBidi" w:eastAsiaTheme="minorHAnsi" w:hAnsiTheme="majorBidi" w:cstheme="majorBidi"/>
            <w:noProof w:val="0"/>
            <w:lang w:bidi="ar-SA"/>
          </w:rPr>
          <w:t>Cochrane Database Syst Rev</w:t>
        </w:r>
      </w:hyperlink>
      <w:r w:rsidRPr="007D373F">
        <w:rPr>
          <w:rFonts w:asciiTheme="majorBidi" w:eastAsiaTheme="minorHAnsi" w:hAnsiTheme="majorBidi" w:cstheme="majorBidi"/>
          <w:noProof w:val="0"/>
          <w:lang w:bidi="ar-SA"/>
        </w:rPr>
        <w:t xml:space="preserve"> 2013;11:CD005571.</w:t>
      </w:r>
    </w:p>
    <w:p w:rsidR="002722C8" w:rsidRPr="007D373F" w:rsidRDefault="004A616F" w:rsidP="004A616F">
      <w:pPr>
        <w:pStyle w:val="EndNoteBibliography"/>
        <w:rPr>
          <w:rFonts w:asciiTheme="majorBidi" w:hAnsiTheme="majorBidi" w:cstheme="majorBidi"/>
        </w:rPr>
      </w:pPr>
      <w:r w:rsidRPr="007D373F">
        <w:rPr>
          <w:rFonts w:asciiTheme="majorBidi" w:hAnsiTheme="majorBidi" w:cstheme="majorBidi"/>
        </w:rPr>
        <w:t>31.</w:t>
      </w:r>
      <w:r w:rsidR="002722C8" w:rsidRPr="007D373F">
        <w:rPr>
          <w:rFonts w:asciiTheme="majorBidi" w:hAnsiTheme="majorBidi" w:cstheme="majorBidi"/>
        </w:rPr>
        <w:t>Jafri N, Mahid S, Minor K, Idstein S, Hornung C, Galandiuk S. Meta</w:t>
      </w:r>
      <w:r w:rsidR="002722C8" w:rsidRPr="007D373F">
        <w:rPr>
          <w:rFonts w:ascii="Cambria Math" w:hAnsi="Cambria Math" w:cs="Cambria Math"/>
        </w:rPr>
        <w:t>‐</w:t>
      </w:r>
      <w:r w:rsidR="002722C8" w:rsidRPr="007D373F">
        <w:rPr>
          <w:rFonts w:asciiTheme="majorBidi" w:hAnsiTheme="majorBidi" w:cstheme="majorBidi"/>
        </w:rPr>
        <w:t xml:space="preserve">analysis: antibiotic prophylaxis to prevent peristomal infection following percutaneous endoscopic gastrostomy. </w:t>
      </w:r>
      <w:hyperlink r:id="rId23" w:tooltip="Alimentary pharmacology &amp; therapeutics." w:history="1">
        <w:r w:rsidRPr="007D373F">
          <w:rPr>
            <w:rFonts w:asciiTheme="majorBidi" w:eastAsiaTheme="minorHAnsi" w:hAnsiTheme="majorBidi" w:cstheme="majorBidi"/>
            <w:noProof w:val="0"/>
            <w:lang w:bidi="ar-SA"/>
          </w:rPr>
          <w:t>Aliment Pharmacol Ther</w:t>
        </w:r>
      </w:hyperlink>
      <w:r w:rsidRPr="007D373F">
        <w:rPr>
          <w:rFonts w:asciiTheme="majorBidi" w:eastAsiaTheme="minorHAnsi" w:hAnsiTheme="majorBidi" w:cstheme="majorBidi"/>
          <w:noProof w:val="0"/>
          <w:lang w:bidi="ar-SA"/>
        </w:rPr>
        <w:t xml:space="preserve"> 2007;25:647-56.</w:t>
      </w:r>
    </w:p>
    <w:p w:rsidR="00A26E7A" w:rsidRPr="007D373F" w:rsidRDefault="00A26E7A" w:rsidP="00A26E7A">
      <w:pPr>
        <w:pStyle w:val="EndNoteBibliography"/>
        <w:rPr>
          <w:rFonts w:asciiTheme="majorBidi" w:eastAsiaTheme="minorHAnsi" w:hAnsiTheme="majorBidi" w:cstheme="majorBidi"/>
          <w:noProof w:val="0"/>
          <w:lang w:bidi="ar-SA"/>
        </w:rPr>
      </w:pPr>
      <w:r w:rsidRPr="007D373F">
        <w:rPr>
          <w:rFonts w:asciiTheme="majorBidi" w:hAnsiTheme="majorBidi" w:cstheme="majorBidi"/>
        </w:rPr>
        <w:t>32.</w:t>
      </w:r>
      <w:r w:rsidR="002722C8" w:rsidRPr="007D373F">
        <w:rPr>
          <w:rFonts w:asciiTheme="majorBidi" w:hAnsiTheme="majorBidi" w:cstheme="majorBidi"/>
        </w:rPr>
        <w:t xml:space="preserve">Ławiński M, Gradowski Ł, Bzikowska A, Goszczyńska A, Jachnis A, Forysiński K. Gastrojejunostomy Inserted Through Peg (Peg-J) in Prevention of Aspiration Pneumonia. Clinical Nutrition Complication in Dysphagic Patients. </w:t>
      </w:r>
      <w:hyperlink r:id="rId24" w:tooltip="Polski przeglad chirurgiczny." w:history="1">
        <w:r w:rsidRPr="007D373F">
          <w:rPr>
            <w:rFonts w:asciiTheme="majorBidi" w:eastAsiaTheme="minorHAnsi" w:hAnsiTheme="majorBidi" w:cstheme="majorBidi"/>
            <w:noProof w:val="0"/>
            <w:lang w:bidi="ar-SA"/>
          </w:rPr>
          <w:t>Pol Przegl Chir</w:t>
        </w:r>
      </w:hyperlink>
      <w:r w:rsidRPr="007D373F">
        <w:rPr>
          <w:rFonts w:asciiTheme="majorBidi" w:eastAsiaTheme="minorHAnsi" w:hAnsiTheme="majorBidi" w:cstheme="majorBidi"/>
          <w:noProof w:val="0"/>
          <w:lang w:bidi="ar-SA"/>
        </w:rPr>
        <w:t xml:space="preserve"> 2014;86:223-9.</w:t>
      </w:r>
    </w:p>
    <w:p w:rsidR="002722C8" w:rsidRPr="007D373F" w:rsidRDefault="00253070" w:rsidP="00253070">
      <w:pPr>
        <w:pStyle w:val="EndNoteBibliography"/>
        <w:rPr>
          <w:rFonts w:asciiTheme="majorBidi" w:hAnsiTheme="majorBidi" w:cstheme="majorBidi"/>
        </w:rPr>
      </w:pPr>
      <w:r w:rsidRPr="007D373F">
        <w:rPr>
          <w:rFonts w:asciiTheme="majorBidi" w:hAnsiTheme="majorBidi" w:cstheme="majorBidi"/>
        </w:rPr>
        <w:t>33.</w:t>
      </w:r>
      <w:r w:rsidR="002722C8" w:rsidRPr="007D373F">
        <w:rPr>
          <w:rFonts w:asciiTheme="majorBidi" w:hAnsiTheme="majorBidi" w:cstheme="majorBidi"/>
        </w:rPr>
        <w:t xml:space="preserve">Richter-Schrag H-J, Richter S, Ruthmann O, Olschewski M, Hopt UT, Fischer A. Risk factors and complications following percutaneous endoscopic gastrostomy: a case series of 1041 patients. </w:t>
      </w:r>
      <w:hyperlink r:id="rId25" w:tooltip="Canadian journal of gastroenterology = Journal canadien de gastroenterologie." w:history="1">
        <w:r w:rsidRPr="007D373F">
          <w:rPr>
            <w:rFonts w:asciiTheme="majorBidi" w:eastAsiaTheme="minorHAnsi" w:hAnsiTheme="majorBidi" w:cstheme="majorBidi"/>
            <w:noProof w:val="0"/>
            <w:lang w:bidi="ar-SA"/>
          </w:rPr>
          <w:t>Can J Gastroenterol</w:t>
        </w:r>
      </w:hyperlink>
      <w:r w:rsidRPr="007D373F">
        <w:rPr>
          <w:rFonts w:asciiTheme="majorBidi" w:eastAsiaTheme="minorHAnsi" w:hAnsiTheme="majorBidi" w:cstheme="majorBidi"/>
          <w:noProof w:val="0"/>
          <w:lang w:bidi="ar-SA"/>
        </w:rPr>
        <w:t xml:space="preserve"> 2011;25:201-6.</w:t>
      </w:r>
    </w:p>
    <w:p w:rsidR="002722C8" w:rsidRPr="007D373F" w:rsidRDefault="002A6A5D" w:rsidP="002A6A5D">
      <w:pPr>
        <w:pStyle w:val="EndNoteBibliography"/>
        <w:rPr>
          <w:rFonts w:asciiTheme="majorBidi" w:hAnsiTheme="majorBidi" w:cstheme="majorBidi"/>
        </w:rPr>
      </w:pPr>
      <w:r w:rsidRPr="007D373F">
        <w:rPr>
          <w:rFonts w:asciiTheme="majorBidi" w:hAnsiTheme="majorBidi" w:cstheme="majorBidi"/>
        </w:rPr>
        <w:t>34.</w:t>
      </w:r>
      <w:r w:rsidR="002722C8" w:rsidRPr="007D373F">
        <w:rPr>
          <w:rFonts w:asciiTheme="majorBidi" w:hAnsiTheme="majorBidi" w:cstheme="majorBidi"/>
        </w:rPr>
        <w:t xml:space="preserve">Spelsberg FW, Hoffmann R-T, Lang RA, Winter H, Weidenhagen R, Reiser M, et al. CT fluoroscopy guided percutaneous gastrostomy or jejunostomy without (CT-PG/PJ) or with simultaneous endoscopy (CT-PEG/PEJ) in otherwise untreatable patients. Surg </w:t>
      </w:r>
      <w:r w:rsidRPr="007D373F">
        <w:rPr>
          <w:rFonts w:asciiTheme="majorBidi" w:hAnsiTheme="majorBidi" w:cstheme="majorBidi"/>
        </w:rPr>
        <w:t>E</w:t>
      </w:r>
      <w:r w:rsidR="002722C8" w:rsidRPr="007D373F">
        <w:rPr>
          <w:rFonts w:asciiTheme="majorBidi" w:hAnsiTheme="majorBidi" w:cstheme="majorBidi"/>
        </w:rPr>
        <w:t>ndosc 2013;27:1186-95.</w:t>
      </w:r>
    </w:p>
    <w:p w:rsidR="008A6C0C" w:rsidRPr="007D373F" w:rsidRDefault="008A6C0C" w:rsidP="008A6C0C">
      <w:pPr>
        <w:pStyle w:val="EndNoteBibliography"/>
        <w:rPr>
          <w:rFonts w:asciiTheme="majorBidi" w:eastAsiaTheme="minorHAnsi" w:hAnsiTheme="majorBidi" w:cstheme="majorBidi"/>
          <w:noProof w:val="0"/>
          <w:lang w:bidi="ar-SA"/>
        </w:rPr>
      </w:pPr>
      <w:r w:rsidRPr="007D373F">
        <w:rPr>
          <w:rFonts w:asciiTheme="majorBidi" w:hAnsiTheme="majorBidi" w:cstheme="majorBidi"/>
        </w:rPr>
        <w:t>35.</w:t>
      </w:r>
      <w:r w:rsidR="002722C8" w:rsidRPr="007D373F">
        <w:rPr>
          <w:rFonts w:asciiTheme="majorBidi" w:hAnsiTheme="majorBidi" w:cstheme="majorBidi"/>
        </w:rPr>
        <w:t xml:space="preserve">Covarrubias DA, O'Connor OJ, mcdermott S, Arellano RS. Radiologic percutaneous gastrostomy: review of potential complications and approach to managing the unexpected outcome. </w:t>
      </w:r>
      <w:hyperlink r:id="rId26" w:tooltip="AJR. American journal of roentgenology." w:history="1">
        <w:r w:rsidRPr="007D373F">
          <w:rPr>
            <w:rFonts w:asciiTheme="majorBidi" w:eastAsiaTheme="minorHAnsi" w:hAnsiTheme="majorBidi" w:cstheme="majorBidi"/>
            <w:noProof w:val="0"/>
            <w:lang w:bidi="ar-SA"/>
          </w:rPr>
          <w:t>AJR Am J Roentgenol</w:t>
        </w:r>
      </w:hyperlink>
      <w:r w:rsidRPr="007D373F">
        <w:rPr>
          <w:rFonts w:asciiTheme="majorBidi" w:eastAsiaTheme="minorHAnsi" w:hAnsiTheme="majorBidi" w:cstheme="majorBidi"/>
          <w:noProof w:val="0"/>
          <w:lang w:bidi="ar-SA"/>
        </w:rPr>
        <w:t xml:space="preserve"> 2013;200:921-31.</w:t>
      </w:r>
    </w:p>
    <w:p w:rsidR="002722C8" w:rsidRPr="007D373F" w:rsidRDefault="0043094B" w:rsidP="0043094B">
      <w:pPr>
        <w:pStyle w:val="EndNoteBibliography"/>
        <w:rPr>
          <w:rFonts w:asciiTheme="majorBidi" w:hAnsiTheme="majorBidi" w:cstheme="majorBidi"/>
        </w:rPr>
      </w:pPr>
      <w:r w:rsidRPr="007D373F">
        <w:rPr>
          <w:rFonts w:asciiTheme="majorBidi" w:hAnsiTheme="majorBidi" w:cstheme="majorBidi"/>
        </w:rPr>
        <w:t>36.</w:t>
      </w:r>
      <w:r w:rsidR="002722C8" w:rsidRPr="007D373F">
        <w:rPr>
          <w:rFonts w:asciiTheme="majorBidi" w:hAnsiTheme="majorBidi" w:cstheme="majorBidi"/>
        </w:rPr>
        <w:t xml:space="preserve">Bravo JGP, Ide E, Kondo A, Moura dthd, Moura ethd, Sakai P, et al. Percutaneous endoscopic versus surgical gastrostomy in patients with benign and malignant diseases: a systematic review and meta-analysis. </w:t>
      </w:r>
      <w:hyperlink r:id="rId27" w:tooltip="Clinics (Sao Paulo, Brazil)." w:history="1">
        <w:r w:rsidRPr="007D373F">
          <w:rPr>
            <w:rFonts w:asciiTheme="majorBidi" w:eastAsiaTheme="minorHAnsi" w:hAnsiTheme="majorBidi" w:cstheme="majorBidi"/>
            <w:noProof w:val="0"/>
            <w:lang w:bidi="ar-SA"/>
          </w:rPr>
          <w:t>Clinics (Sao Paulo)</w:t>
        </w:r>
      </w:hyperlink>
      <w:r w:rsidRPr="007D373F">
        <w:rPr>
          <w:rFonts w:asciiTheme="majorBidi" w:eastAsiaTheme="minorHAnsi" w:hAnsiTheme="majorBidi" w:cstheme="majorBidi"/>
          <w:noProof w:val="0"/>
          <w:lang w:bidi="ar-SA"/>
        </w:rPr>
        <w:t xml:space="preserve">  2016;71:169-78.</w:t>
      </w:r>
    </w:p>
    <w:p w:rsidR="002722C8" w:rsidRPr="007D373F" w:rsidRDefault="0041119D" w:rsidP="0041119D">
      <w:pPr>
        <w:pStyle w:val="EndNoteBibliography"/>
        <w:rPr>
          <w:rFonts w:asciiTheme="majorBidi" w:hAnsiTheme="majorBidi" w:cstheme="majorBidi"/>
        </w:rPr>
      </w:pPr>
      <w:r w:rsidRPr="007D373F">
        <w:rPr>
          <w:rFonts w:asciiTheme="majorBidi" w:hAnsiTheme="majorBidi" w:cstheme="majorBidi"/>
        </w:rPr>
        <w:t>37.</w:t>
      </w:r>
      <w:r w:rsidR="002722C8" w:rsidRPr="007D373F">
        <w:rPr>
          <w:rFonts w:asciiTheme="majorBidi" w:hAnsiTheme="majorBidi" w:cstheme="majorBidi"/>
        </w:rPr>
        <w:t xml:space="preserve">Wang J, Liu M, Liu C, Ye Y, Huang G. Percutaneous endoscopic gastrostomy versus nasogastric tube feeding for patients with head and neck cancer: a systematic review. </w:t>
      </w:r>
      <w:hyperlink r:id="rId28" w:tooltip="Journal of radiation research." w:history="1">
        <w:r w:rsidRPr="007D373F">
          <w:rPr>
            <w:rFonts w:asciiTheme="majorBidi" w:eastAsiaTheme="minorHAnsi" w:hAnsiTheme="majorBidi" w:cstheme="majorBidi"/>
            <w:noProof w:val="0"/>
            <w:lang w:bidi="ar-SA"/>
          </w:rPr>
          <w:t>J Radiat Res</w:t>
        </w:r>
      </w:hyperlink>
      <w:r w:rsidRPr="007D373F">
        <w:rPr>
          <w:rFonts w:asciiTheme="majorBidi" w:eastAsiaTheme="minorHAnsi" w:hAnsiTheme="majorBidi" w:cstheme="majorBidi"/>
          <w:noProof w:val="0"/>
          <w:lang w:bidi="ar-SA"/>
        </w:rPr>
        <w:t xml:space="preserve"> 2014;55:559-67.</w:t>
      </w:r>
    </w:p>
    <w:p w:rsidR="002722C8" w:rsidRPr="007D373F" w:rsidRDefault="0041119D" w:rsidP="0041119D">
      <w:pPr>
        <w:pStyle w:val="EndNoteBibliography"/>
        <w:rPr>
          <w:rFonts w:asciiTheme="majorBidi" w:hAnsiTheme="majorBidi" w:cstheme="majorBidi"/>
        </w:rPr>
      </w:pPr>
      <w:r w:rsidRPr="007D373F">
        <w:rPr>
          <w:rFonts w:asciiTheme="majorBidi" w:hAnsiTheme="majorBidi" w:cstheme="majorBidi"/>
        </w:rPr>
        <w:t>38.</w:t>
      </w:r>
      <w:r w:rsidR="002722C8" w:rsidRPr="007D373F">
        <w:rPr>
          <w:rFonts w:asciiTheme="majorBidi" w:hAnsiTheme="majorBidi" w:cstheme="majorBidi"/>
        </w:rPr>
        <w:t>Gomes Jr CA, Lustosa SAS, Matos D, Andriolo RB, Waisberg DR, Waisberg J. Percutaneous endoscopic gastrostomy versus nasogastric tube feeding for adults with swallowing disturbances.</w:t>
      </w:r>
      <w:r w:rsidRPr="007D373F">
        <w:rPr>
          <w:rFonts w:asciiTheme="majorBidi" w:eastAsiaTheme="minorHAnsi" w:hAnsiTheme="majorBidi" w:cstheme="majorBidi"/>
          <w:noProof w:val="0"/>
          <w:lang w:bidi="ar-SA"/>
        </w:rPr>
        <w:t xml:space="preserve"> </w:t>
      </w:r>
      <w:hyperlink r:id="rId29" w:tooltip="The Cochrane database of systematic reviews." w:history="1">
        <w:r w:rsidRPr="007D373F">
          <w:rPr>
            <w:rFonts w:asciiTheme="majorBidi" w:eastAsiaTheme="minorHAnsi" w:hAnsiTheme="majorBidi" w:cstheme="majorBidi"/>
            <w:noProof w:val="0"/>
            <w:lang w:bidi="ar-SA"/>
          </w:rPr>
          <w:t>Cochrane Database Syst Rev</w:t>
        </w:r>
      </w:hyperlink>
      <w:r w:rsidRPr="007D373F">
        <w:rPr>
          <w:rFonts w:asciiTheme="majorBidi" w:eastAsiaTheme="minorHAnsi" w:hAnsiTheme="majorBidi" w:cstheme="majorBidi"/>
          <w:noProof w:val="0"/>
          <w:lang w:bidi="ar-SA"/>
        </w:rPr>
        <w:t xml:space="preserve"> 2010; 11:CD008096.</w:t>
      </w:r>
    </w:p>
    <w:p w:rsidR="002722C8" w:rsidRPr="007D373F" w:rsidRDefault="0041119D" w:rsidP="004066EC">
      <w:pPr>
        <w:pStyle w:val="EndNoteBibliography"/>
        <w:rPr>
          <w:rFonts w:asciiTheme="majorBidi" w:hAnsiTheme="majorBidi" w:cstheme="majorBidi"/>
        </w:rPr>
      </w:pPr>
      <w:r w:rsidRPr="007D373F">
        <w:rPr>
          <w:rFonts w:asciiTheme="majorBidi" w:hAnsiTheme="majorBidi" w:cstheme="majorBidi"/>
        </w:rPr>
        <w:t>39.</w:t>
      </w:r>
      <w:r w:rsidR="002722C8" w:rsidRPr="007D373F">
        <w:rPr>
          <w:rFonts w:asciiTheme="majorBidi" w:hAnsiTheme="majorBidi" w:cstheme="majorBidi"/>
        </w:rPr>
        <w:t xml:space="preserve">Gomes Jr CA, Andriolo RB, Bennett C, Lustosa SA, Matos D, Waisberg DR, et al. Percutaneous endoscopic gastrostomy versus nasogastric tube feeding for adults with swallowing disturbances. </w:t>
      </w:r>
      <w:hyperlink r:id="rId30" w:tooltip="The Cochrane database of systematic reviews." w:history="1">
        <w:r w:rsidR="004066EC" w:rsidRPr="007D373F">
          <w:rPr>
            <w:rFonts w:asciiTheme="majorBidi" w:eastAsiaTheme="minorHAnsi" w:hAnsiTheme="majorBidi" w:cstheme="majorBidi"/>
            <w:noProof w:val="0"/>
            <w:lang w:bidi="ar-SA"/>
          </w:rPr>
          <w:t>Cochrane Database Syst Rev</w:t>
        </w:r>
      </w:hyperlink>
      <w:r w:rsidR="004066EC" w:rsidRPr="007D373F">
        <w:rPr>
          <w:rFonts w:asciiTheme="majorBidi" w:eastAsiaTheme="minorHAnsi" w:hAnsiTheme="majorBidi" w:cstheme="majorBidi"/>
          <w:noProof w:val="0"/>
          <w:lang w:bidi="ar-SA"/>
        </w:rPr>
        <w:t xml:space="preserve"> 2015; 5:CD008096.</w:t>
      </w:r>
    </w:p>
    <w:p w:rsidR="002722C8" w:rsidRPr="007D373F" w:rsidRDefault="007D373F" w:rsidP="007D373F">
      <w:pPr>
        <w:pStyle w:val="EndNoteBibliography"/>
        <w:rPr>
          <w:rFonts w:asciiTheme="majorBidi" w:eastAsia="Times New Roman" w:hAnsiTheme="majorBidi" w:cstheme="majorBidi"/>
          <w:kern w:val="36"/>
          <w:sz w:val="24"/>
          <w:szCs w:val="24"/>
        </w:rPr>
      </w:pPr>
      <w:r w:rsidRPr="007D373F">
        <w:rPr>
          <w:rFonts w:asciiTheme="majorBidi" w:hAnsiTheme="majorBidi" w:cstheme="majorBidi"/>
        </w:rPr>
        <w:t>40.</w:t>
      </w:r>
      <w:r w:rsidR="002722C8" w:rsidRPr="007D373F">
        <w:rPr>
          <w:rFonts w:asciiTheme="majorBidi" w:hAnsiTheme="majorBidi" w:cstheme="majorBidi"/>
        </w:rPr>
        <w:t xml:space="preserve">Souza EC. Surgical gastrostomy based on endoscopic concepts. </w:t>
      </w:r>
      <w:hyperlink r:id="rId31" w:tooltip="Arquivos brasileiros de cirurgia digestiva : ABCD = Brazilian archives of digestive surgery." w:history="1">
        <w:r w:rsidRPr="007D373F">
          <w:rPr>
            <w:rFonts w:asciiTheme="majorBidi" w:eastAsiaTheme="minorHAnsi" w:hAnsiTheme="majorBidi" w:cstheme="majorBidi"/>
            <w:noProof w:val="0"/>
            <w:lang w:bidi="ar-SA"/>
          </w:rPr>
          <w:t>Arq Bras Cir Dig</w:t>
        </w:r>
      </w:hyperlink>
      <w:r w:rsidRPr="007D373F">
        <w:rPr>
          <w:rFonts w:asciiTheme="majorBidi" w:eastAsiaTheme="minorHAnsi" w:hAnsiTheme="majorBidi" w:cstheme="majorBidi"/>
          <w:noProof w:val="0"/>
          <w:lang w:bidi="ar-SA"/>
        </w:rPr>
        <w:t xml:space="preserve"> 2016;29:50-2.</w:t>
      </w:r>
      <w:r w:rsidR="002722C8" w:rsidRPr="007D373F">
        <w:rPr>
          <w:rFonts w:asciiTheme="majorBidi" w:eastAsia="Times New Roman" w:hAnsiTheme="majorBidi" w:cstheme="majorBidi"/>
          <w:kern w:val="36"/>
        </w:rPr>
        <w:fldChar w:fldCharType="end"/>
      </w:r>
    </w:p>
    <w:p w:rsidR="00A3682B" w:rsidRDefault="00A3682B"/>
    <w:sectPr w:rsidR="00A3682B" w:rsidSect="00B248E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C8"/>
    <w:rsid w:val="00253070"/>
    <w:rsid w:val="002722C8"/>
    <w:rsid w:val="002A6A5D"/>
    <w:rsid w:val="002C22BA"/>
    <w:rsid w:val="003E5A4D"/>
    <w:rsid w:val="004066EC"/>
    <w:rsid w:val="0041119D"/>
    <w:rsid w:val="0043094B"/>
    <w:rsid w:val="00471727"/>
    <w:rsid w:val="004A616F"/>
    <w:rsid w:val="004A7B83"/>
    <w:rsid w:val="00513168"/>
    <w:rsid w:val="00792441"/>
    <w:rsid w:val="007D373F"/>
    <w:rsid w:val="00813945"/>
    <w:rsid w:val="008752AF"/>
    <w:rsid w:val="008A6C0C"/>
    <w:rsid w:val="00975E66"/>
    <w:rsid w:val="009B778A"/>
    <w:rsid w:val="009F1ADC"/>
    <w:rsid w:val="00A0747E"/>
    <w:rsid w:val="00A26E7A"/>
    <w:rsid w:val="00A3682B"/>
    <w:rsid w:val="00A53E7B"/>
    <w:rsid w:val="00B10433"/>
    <w:rsid w:val="00B248E4"/>
    <w:rsid w:val="00B40A2A"/>
    <w:rsid w:val="00C45DB9"/>
    <w:rsid w:val="00DD15B3"/>
    <w:rsid w:val="00DD504B"/>
    <w:rsid w:val="00E53CB4"/>
    <w:rsid w:val="00EA5724"/>
    <w:rsid w:val="00FB6FC2"/>
    <w:rsid w:val="00FC2101"/>
    <w:rsid w:val="00FD5B1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2C8"/>
    <w:pPr>
      <w:spacing w:after="160" w:line="256" w:lineRule="auto"/>
    </w:pPr>
    <w:rPr>
      <w:rFonts w:eastAsiaTheme="minorHAns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441"/>
    <w:pPr>
      <w:spacing w:after="200" w:line="276" w:lineRule="auto"/>
      <w:ind w:left="720"/>
      <w:contextualSpacing/>
    </w:pPr>
    <w:rPr>
      <w:rFonts w:ascii="Calibri" w:eastAsia="Calibri" w:hAnsi="Calibri" w:cs="Arial"/>
    </w:rPr>
  </w:style>
  <w:style w:type="character" w:styleId="Hyperlink">
    <w:name w:val="Hyperlink"/>
    <w:basedOn w:val="DefaultParagraphFont"/>
    <w:uiPriority w:val="99"/>
    <w:semiHidden/>
    <w:unhideWhenUsed/>
    <w:rsid w:val="002722C8"/>
    <w:rPr>
      <w:color w:val="0000FF" w:themeColor="hyperlink"/>
      <w:u w:val="single"/>
    </w:rPr>
  </w:style>
  <w:style w:type="character" w:customStyle="1" w:styleId="EndNoteBibliographyChar">
    <w:name w:val="EndNote Bibliography Char"/>
    <w:basedOn w:val="DefaultParagraphFont"/>
    <w:link w:val="EndNoteBibliography"/>
    <w:locked/>
    <w:rsid w:val="002722C8"/>
    <w:rPr>
      <w:rFonts w:ascii="Calibri" w:hAnsi="Calibri"/>
      <w:noProof/>
    </w:rPr>
  </w:style>
  <w:style w:type="paragraph" w:customStyle="1" w:styleId="EndNoteBibliography">
    <w:name w:val="EndNote Bibliography"/>
    <w:basedOn w:val="Normal"/>
    <w:link w:val="EndNoteBibliographyChar"/>
    <w:rsid w:val="002722C8"/>
    <w:pPr>
      <w:spacing w:line="240" w:lineRule="auto"/>
      <w:jc w:val="both"/>
    </w:pPr>
    <w:rPr>
      <w:rFonts w:ascii="Calibri" w:eastAsia="Calibri" w:hAnsi="Calibri"/>
      <w:noProof/>
      <w:lang w:bidi="fa-IR"/>
    </w:rPr>
  </w:style>
  <w:style w:type="character" w:customStyle="1" w:styleId="highlight">
    <w:name w:val="highlight"/>
    <w:basedOn w:val="DefaultParagraphFont"/>
    <w:rsid w:val="002722C8"/>
  </w:style>
  <w:style w:type="table" w:styleId="TableGrid">
    <w:name w:val="Table Grid"/>
    <w:basedOn w:val="TableNormal"/>
    <w:uiPriority w:val="39"/>
    <w:rsid w:val="002722C8"/>
    <w:pPr>
      <w:spacing w:after="0" w:line="240" w:lineRule="auto"/>
      <w:jc w:val="both"/>
    </w:pPr>
    <w:rPr>
      <w:rFonts w:eastAsiaTheme="minorHAns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3">
    <w:name w:val="Grid Table 5 Dark Accent 3"/>
    <w:basedOn w:val="TableNormal"/>
    <w:uiPriority w:val="50"/>
    <w:rsid w:val="002722C8"/>
    <w:pPr>
      <w:spacing w:after="0" w:line="240" w:lineRule="auto"/>
      <w:jc w:val="both"/>
    </w:pPr>
    <w:rPr>
      <w:rFonts w:eastAsiaTheme="minorHAnsi"/>
      <w:lang w:bidi="ar-S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jrnl">
    <w:name w:val="jrnl"/>
    <w:basedOn w:val="DefaultParagraphFont"/>
    <w:rsid w:val="00975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2C8"/>
    <w:pPr>
      <w:spacing w:after="160" w:line="256" w:lineRule="auto"/>
    </w:pPr>
    <w:rPr>
      <w:rFonts w:eastAsiaTheme="minorHAns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441"/>
    <w:pPr>
      <w:spacing w:after="200" w:line="276" w:lineRule="auto"/>
      <w:ind w:left="720"/>
      <w:contextualSpacing/>
    </w:pPr>
    <w:rPr>
      <w:rFonts w:ascii="Calibri" w:eastAsia="Calibri" w:hAnsi="Calibri" w:cs="Arial"/>
    </w:rPr>
  </w:style>
  <w:style w:type="character" w:styleId="Hyperlink">
    <w:name w:val="Hyperlink"/>
    <w:basedOn w:val="DefaultParagraphFont"/>
    <w:uiPriority w:val="99"/>
    <w:semiHidden/>
    <w:unhideWhenUsed/>
    <w:rsid w:val="002722C8"/>
    <w:rPr>
      <w:color w:val="0000FF" w:themeColor="hyperlink"/>
      <w:u w:val="single"/>
    </w:rPr>
  </w:style>
  <w:style w:type="character" w:customStyle="1" w:styleId="EndNoteBibliographyChar">
    <w:name w:val="EndNote Bibliography Char"/>
    <w:basedOn w:val="DefaultParagraphFont"/>
    <w:link w:val="EndNoteBibliography"/>
    <w:locked/>
    <w:rsid w:val="002722C8"/>
    <w:rPr>
      <w:rFonts w:ascii="Calibri" w:hAnsi="Calibri"/>
      <w:noProof/>
    </w:rPr>
  </w:style>
  <w:style w:type="paragraph" w:customStyle="1" w:styleId="EndNoteBibliography">
    <w:name w:val="EndNote Bibliography"/>
    <w:basedOn w:val="Normal"/>
    <w:link w:val="EndNoteBibliographyChar"/>
    <w:rsid w:val="002722C8"/>
    <w:pPr>
      <w:spacing w:line="240" w:lineRule="auto"/>
      <w:jc w:val="both"/>
    </w:pPr>
    <w:rPr>
      <w:rFonts w:ascii="Calibri" w:eastAsia="Calibri" w:hAnsi="Calibri"/>
      <w:noProof/>
      <w:lang w:bidi="fa-IR"/>
    </w:rPr>
  </w:style>
  <w:style w:type="character" w:customStyle="1" w:styleId="highlight">
    <w:name w:val="highlight"/>
    <w:basedOn w:val="DefaultParagraphFont"/>
    <w:rsid w:val="002722C8"/>
  </w:style>
  <w:style w:type="table" w:styleId="TableGrid">
    <w:name w:val="Table Grid"/>
    <w:basedOn w:val="TableNormal"/>
    <w:uiPriority w:val="39"/>
    <w:rsid w:val="002722C8"/>
    <w:pPr>
      <w:spacing w:after="0" w:line="240" w:lineRule="auto"/>
      <w:jc w:val="both"/>
    </w:pPr>
    <w:rPr>
      <w:rFonts w:eastAsiaTheme="minorHAns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3">
    <w:name w:val="Grid Table 5 Dark Accent 3"/>
    <w:basedOn w:val="TableNormal"/>
    <w:uiPriority w:val="50"/>
    <w:rsid w:val="002722C8"/>
    <w:pPr>
      <w:spacing w:after="0" w:line="240" w:lineRule="auto"/>
      <w:jc w:val="both"/>
    </w:pPr>
    <w:rPr>
      <w:rFonts w:eastAsiaTheme="minorHAnsi"/>
      <w:lang w:bidi="ar-S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jrnl">
    <w:name w:val="jrnl"/>
    <w:basedOn w:val="DefaultParagraphFont"/>
    <w:rsid w:val="00975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22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oran+C%2C+O%E2%80%99Mahony+S.+When+is+feeding+via+a+percutaneous+endoscopic+gastrostomy+indicated%3F" TargetMode="External"/><Relationship Id="rId13" Type="http://schemas.openxmlformats.org/officeDocument/2006/relationships/hyperlink" Target="https://www.ncbi.nlm.nih.gov/pubmed/?term=Nozu+T%2C+Okumura+T.+Bullous+pemphigoid+and+percutaneous+endoscopic+gastrostomy." TargetMode="External"/><Relationship Id="rId18" Type="http://schemas.openxmlformats.org/officeDocument/2006/relationships/hyperlink" Target="https://www.ncbi.nlm.nih.gov/pubmed/?term=Lim+JH%2C+Choi+SH%2C+Lee+C%2C+Seo+JY%2C+Kang+HY%2C+Yang+JI%2C+et+al.+Thirty-day+mortality+after+percutaneous+gastrostomy+by+endoscopic+versus+radiologic+placement%3A+a+systematic+review+and+meta-analysis." TargetMode="External"/><Relationship Id="rId26" Type="http://schemas.openxmlformats.org/officeDocument/2006/relationships/hyperlink" Target="https://www.ncbi.nlm.nih.gov/pubmed/?term=Covarrubias+DA%2C+O%27Connor+OJ%2C+mcdermott+S%2C+Arellano+RS.+Radiologic+percutaneous+gastrostomy%3A+review+of+potential+complications+and+approach+to+managing+the+unexpected+outcome." TargetMode="External"/><Relationship Id="rId3" Type="http://schemas.openxmlformats.org/officeDocument/2006/relationships/settings" Target="settings.xml"/><Relationship Id="rId21" Type="http://schemas.openxmlformats.org/officeDocument/2006/relationships/hyperlink" Target="https://www.ncbi.nlm.nih.gov/pubmed/?term=Complications+after+percutaneous+endoscopic+gastrostomy+in+a+prospective+study." TargetMode="External"/><Relationship Id="rId7" Type="http://schemas.openxmlformats.org/officeDocument/2006/relationships/hyperlink" Target="https://www.ncbi.nlm.nih.gov/pubmed/?term=Friginal-Ruiz+AB%2C+Lucendo+AJ.+Percutaneous+endoscopic+gastrostomy%3A+a+practical+overview+on+its+indications%2C+placement+conditions%2C+management%2C+and+nursing+care." TargetMode="External"/><Relationship Id="rId12" Type="http://schemas.openxmlformats.org/officeDocument/2006/relationships/hyperlink" Target="https://www.ncbi.nlm.nih.gov/pubmed/?term=Benstead+T%2C+Jackson-Tarlton+C%2C+Leddin+D.+Nutrition+with+Gastrostomy+Feeding+Tubes+for+Amyotrophic+Lateral+Sclerosis+in+Canada." TargetMode="External"/><Relationship Id="rId17" Type="http://schemas.openxmlformats.org/officeDocument/2006/relationships/hyperlink" Target="https://www.ncbi.nlm.nih.gov/pubmed/?term=Mori+H%2C+Kobara+H%2C+Rafiq+K%2C+Nishiyama+N%2C+Fujihara+S%2C+Oryu+M%2C+et+al.+Effects+of+gastric+irrigation+on+bacterial+counts+before+endoscopic+submucosal+dissection%3A+a+randomized+case+control+prospective+study." TargetMode="External"/><Relationship Id="rId25" Type="http://schemas.openxmlformats.org/officeDocument/2006/relationships/hyperlink" Target="https://www.ncbi.nlm.nih.gov/pubmed/?term=Richter-Schrag+H-J%2C+Richter+S%2C+Ruthmann+O%2C+Olschewski+M%2C+Hopt+UT%2C+Fischer+A.+Risk+factors+and+complications+following+percutaneous+endoscopic+gastrostomy%3A+a+case+series+of+1041+patients."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ncbi.nlm.nih.gov/pubmed/?term=Kara+O%2C+Kizilarslanoglu+MC%2C+Canbaz+B%2C+Arik+G%2C+Varan+HD%2C+Kuyumcu+ME%2C+et+al.+Survival+After+Percutaneous+Endoscopic+Gastrostomy+in+Older+Adults+With+Neurologic+Disorders." TargetMode="External"/><Relationship Id="rId20" Type="http://schemas.openxmlformats.org/officeDocument/2006/relationships/hyperlink" Target="https://www.ncbi.nlm.nih.gov/pubmed/?term=Duarte+H%2C+Santos+C%2C+Capelas+ML%2C+Fonseca+J.+Peristomal+infection+after+percutaneous+endoscopic+gastrostomy%3A+a+7-year+surveillance+of+297+patients." TargetMode="External"/><Relationship Id="rId29" Type="http://schemas.openxmlformats.org/officeDocument/2006/relationships/hyperlink" Target="https://www.ncbi.nlm.nih.gov/pubmed/21069702"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ncbi.nlm.nih.gov/pubmed/?term=Sofue+K%2C+Takeuchi+Y%2C+Tsurusaki+M%2C+Shibamoto+K%2C+Sakamoto+N%2C+Kitajima+K%2C+et+al.+Value+of+Percutaneous+Radiologic+Gastrostomy+for+Patients+with+Advanced+Esophageal+Cancer." TargetMode="External"/><Relationship Id="rId24" Type="http://schemas.openxmlformats.org/officeDocument/2006/relationships/hyperlink" Target="https://www.ncbi.nlm.nih.gov/pubmed/?term=%C5%81awi%C5%84ski+M%2C+Gradowski+%C5%81%2C+Bzikowska+A%2C+Goszczy%C5%84ska+A%2C+Jachnis+A%2C+Forysi%C5%84ski+K.+Gastrojejunostomy+Inserted+Through+Peg+%28Peg-J%29+in+Prevention+of+Aspiration+Pneumonia."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ncbi.nlm.nih.gov/pubmed/?term=Li+J%2C+Zhang+J%2C+Li+S%2C+Guo+H%2C+Qin+W%2C+li+Hu+W.+Predictors+of+percutaneous+endoscopic+gastrostomy+tube+placement+after+stroke." TargetMode="External"/><Relationship Id="rId23" Type="http://schemas.openxmlformats.org/officeDocument/2006/relationships/hyperlink" Target="https://www.ncbi.nlm.nih.gov/pubmed/?term=.Jafri+N%2C+Mahid+S%2C+Minor+K%2C+Idstein+S%2C+Hornung+C%2C+Galandiuk+S.+Meta%E2%80%90analysis%3A+antibiotic+prophylaxis+to+prevent+peristomal+infection+following+percutaneous+endoscopic+gastrostomy." TargetMode="External"/><Relationship Id="rId28" Type="http://schemas.openxmlformats.org/officeDocument/2006/relationships/hyperlink" Target="https://www.ncbi.nlm.nih.gov/pubmed/?term=Wang+J%2C+Liu+M%2C+Liu+C%2C+Ye+Y%2C+Huang+G.+Percutaneous+endoscopic+gastrostomy+versus+nasogastric+tube+feeding+for+patients+with+head+and+neck+cancer%3A+a+systematic+review." TargetMode="External"/><Relationship Id="rId10" Type="http://schemas.openxmlformats.org/officeDocument/2006/relationships/hyperlink" Target="https://www.ncbi.nlm.nih.gov/pubmed/?term=Nunes+G%2C+Santos+CA%2C+Santos+C%2C+Fonseca+J.+Percutaneous+endoscopic+gastrostomy+for+nutritional+support+in+dementia+patients." TargetMode="External"/><Relationship Id="rId19" Type="http://schemas.openxmlformats.org/officeDocument/2006/relationships/hyperlink" Target="https://www.ncbi.nlm.nih.gov/pubmed/?term=Suksamanapun+N%2C+Mauritz+FA%2C+Franken+J%2C+van+der+Zee+DC%2C+van+Herwaarden-Lindeboom+M.+Laparoscopic+versus+percutaneous+endoscopic+gastrostomy+placement+in+children%3A+Results+of+a+systematic+review+and+meta-analysis." TargetMode="External"/><Relationship Id="rId31" Type="http://schemas.openxmlformats.org/officeDocument/2006/relationships/hyperlink" Target="https://www.ncbi.nlm.nih.gov/pubmed/?term=Souza+EC.+Surgical+gastrostomy+based+on+endoscopic+concepts." TargetMode="External"/><Relationship Id="rId4" Type="http://schemas.openxmlformats.org/officeDocument/2006/relationships/webSettings" Target="webSettings.xml"/><Relationship Id="rId9" Type="http://schemas.openxmlformats.org/officeDocument/2006/relationships/hyperlink" Target="https://www.ncbi.nlm.nih.gov/pubmed/?term=Xu+Y%2C+Guo+Q%2C+Lin+J%2C+Chen+B%2C+Wen+J%2C+Lu+T%2C+et+al.+Benefit+of+percutaneous+endoscopic+gastrostomy+in+patients+undergoing+definitive+chemoradiotherapy+for+locally+advanced+nasopharyngeal+carcinoma." TargetMode="External"/><Relationship Id="rId14" Type="http://schemas.openxmlformats.org/officeDocument/2006/relationships/hyperlink" Target="https://www.ncbi.nlm.nih.gov/pubmed/?term=Hucl+T%2C+Spicak+J.+Complications+of+percutaneous+endoscopic+gastrostomy." TargetMode="External"/><Relationship Id="rId22" Type="http://schemas.openxmlformats.org/officeDocument/2006/relationships/hyperlink" Target="https://www.ncbi.nlm.nih.gov/pubmed/24234575" TargetMode="External"/><Relationship Id="rId27" Type="http://schemas.openxmlformats.org/officeDocument/2006/relationships/hyperlink" Target="https://www.ncbi.nlm.nih.gov/pubmed/?term=Percutaneous+endoscopic+versus+surgical+gastrostomy+in+patients+with+benign+and+malignant+diseases%3A+a+systematic+review+and+meta-analysis." TargetMode="External"/><Relationship Id="rId30" Type="http://schemas.openxmlformats.org/officeDocument/2006/relationships/hyperlink" Target="https://www.ncbi.nlm.nih.gov/pubmed/25997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15</Pages>
  <Words>10390</Words>
  <Characters>59226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IAGH</dc:creator>
  <cp:lastModifiedBy>IAGH</cp:lastModifiedBy>
  <cp:revision>28</cp:revision>
  <dcterms:created xsi:type="dcterms:W3CDTF">2017-04-05T11:45:00Z</dcterms:created>
  <dcterms:modified xsi:type="dcterms:W3CDTF">2017-04-06T04:13:00Z</dcterms:modified>
</cp:coreProperties>
</file>